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82AB1">
      <w:pPr>
        <w:kinsoku w:val="0"/>
        <w:overflowPunct w:val="0"/>
        <w:autoSpaceDE/>
        <w:autoSpaceDN/>
        <w:adjustRightInd/>
        <w:spacing w:line="318" w:lineRule="exact"/>
        <w:ind w:left="72"/>
        <w:jc w:val="center"/>
        <w:textAlignment w:val="baseline"/>
        <w:rPr>
          <w:b/>
          <w:bCs/>
          <w:sz w:val="26"/>
          <w:szCs w:val="26"/>
          <w:lang w:val="es-ES" w:eastAsia="es-ES"/>
        </w:rPr>
      </w:pPr>
      <w:r>
        <w:rPr>
          <w:b/>
          <w:bCs/>
          <w:sz w:val="26"/>
          <w:szCs w:val="26"/>
          <w:lang w:val="es-ES" w:eastAsia="es-ES"/>
        </w:rPr>
        <w:t>RESOLUCIÓN No. TAT-2402-2014</w:t>
      </w:r>
    </w:p>
    <w:p w:rsidR="00000000" w:rsidRDefault="00F82AB1">
      <w:pPr>
        <w:kinsoku w:val="0"/>
        <w:overflowPunct w:val="0"/>
        <w:autoSpaceDE/>
        <w:autoSpaceDN/>
        <w:adjustRightInd/>
        <w:spacing w:before="545" w:line="343" w:lineRule="exact"/>
        <w:ind w:left="72"/>
        <w:textAlignment w:val="baseline"/>
        <w:rPr>
          <w:spacing w:val="6"/>
          <w:sz w:val="26"/>
          <w:szCs w:val="26"/>
          <w:lang w:val="es-ES" w:eastAsia="es-ES"/>
        </w:rPr>
      </w:pPr>
      <w:r>
        <w:rPr>
          <w:b/>
          <w:bCs/>
          <w:spacing w:val="6"/>
          <w:sz w:val="26"/>
          <w:szCs w:val="26"/>
          <w:lang w:val="es-ES" w:eastAsia="es-ES"/>
        </w:rPr>
        <w:t xml:space="preserve">TRIBUNAL ADMINISTRATIVO DE TRANSPORTE.- </w:t>
      </w:r>
      <w:r>
        <w:rPr>
          <w:spacing w:val="6"/>
          <w:sz w:val="26"/>
          <w:szCs w:val="26"/>
          <w:lang w:val="es-ES" w:eastAsia="es-ES"/>
        </w:rPr>
        <w:t>San José, a las 10:15</w:t>
      </w:r>
    </w:p>
    <w:p w:rsidR="00000000" w:rsidRDefault="00F82AB1" w:rsidP="00FF4A8D">
      <w:pPr>
        <w:tabs>
          <w:tab w:val="left" w:leader="hyphen" w:pos="8856"/>
        </w:tabs>
        <w:kinsoku w:val="0"/>
        <w:overflowPunct w:val="0"/>
        <w:autoSpaceDE/>
        <w:autoSpaceDN/>
        <w:adjustRightInd/>
        <w:spacing w:before="32" w:line="295" w:lineRule="exact"/>
        <w:ind w:left="72"/>
        <w:textAlignment w:val="baseline"/>
        <w:rPr>
          <w:spacing w:val="1"/>
          <w:sz w:val="26"/>
          <w:szCs w:val="26"/>
          <w:lang w:val="es-ES" w:eastAsia="es-ES"/>
        </w:rPr>
      </w:pPr>
      <w:proofErr w:type="gramStart"/>
      <w:r>
        <w:rPr>
          <w:spacing w:val="1"/>
          <w:sz w:val="26"/>
          <w:szCs w:val="26"/>
          <w:lang w:val="es-ES" w:eastAsia="es-ES"/>
        </w:rPr>
        <w:t>horas</w:t>
      </w:r>
      <w:proofErr w:type="gramEnd"/>
      <w:r>
        <w:rPr>
          <w:spacing w:val="1"/>
          <w:sz w:val="26"/>
          <w:szCs w:val="26"/>
          <w:lang w:val="es-ES" w:eastAsia="es-ES"/>
        </w:rPr>
        <w:t xml:space="preserve"> del dí</w:t>
      </w:r>
      <w:r>
        <w:rPr>
          <w:spacing w:val="1"/>
          <w:sz w:val="26"/>
          <w:szCs w:val="26"/>
          <w:lang w:val="es-ES" w:eastAsia="es-ES"/>
        </w:rPr>
        <w:t>a 25 de Noviembre del Dos Mil Catorce.</w:t>
      </w:r>
      <w:r>
        <w:rPr>
          <w:spacing w:val="1"/>
          <w:sz w:val="26"/>
          <w:szCs w:val="26"/>
          <w:lang w:val="es-ES" w:eastAsia="es-ES"/>
        </w:rPr>
        <w:tab/>
      </w:r>
    </w:p>
    <w:p w:rsidR="00000000" w:rsidRDefault="00F82AB1">
      <w:pPr>
        <w:kinsoku w:val="0"/>
        <w:overflowPunct w:val="0"/>
        <w:autoSpaceDE/>
        <w:autoSpaceDN/>
        <w:adjustRightInd/>
        <w:spacing w:before="339" w:line="343" w:lineRule="exact"/>
        <w:ind w:left="72" w:right="504"/>
        <w:jc w:val="both"/>
        <w:textAlignment w:val="baseline"/>
        <w:rPr>
          <w:sz w:val="24"/>
          <w:szCs w:val="24"/>
          <w:lang w:eastAsia="en-US"/>
        </w:rPr>
      </w:pPr>
      <w:r>
        <w:rPr>
          <w:sz w:val="26"/>
          <w:szCs w:val="26"/>
          <w:lang w:val="es-ES" w:eastAsia="es-ES"/>
        </w:rPr>
        <w:t xml:space="preserve">Se conoce por este medio de </w:t>
      </w:r>
      <w:r>
        <w:rPr>
          <w:b/>
          <w:bCs/>
          <w:sz w:val="26"/>
          <w:szCs w:val="26"/>
          <w:lang w:val="es-ES" w:eastAsia="es-ES"/>
        </w:rPr>
        <w:t xml:space="preserve">GESTIÓN DE AMPLIACIÓN A RECURSO DE APELACIÓN EN SUBSIDIO </w:t>
      </w:r>
      <w:r>
        <w:rPr>
          <w:sz w:val="26"/>
          <w:szCs w:val="26"/>
          <w:lang w:val="es-ES" w:eastAsia="es-ES"/>
        </w:rPr>
        <w:t xml:space="preserve">y de </w:t>
      </w:r>
      <w:r>
        <w:rPr>
          <w:b/>
          <w:bCs/>
          <w:sz w:val="26"/>
          <w:szCs w:val="26"/>
          <w:lang w:val="es-ES" w:eastAsia="es-ES"/>
        </w:rPr>
        <w:t xml:space="preserve">ACCIÓN DE NULIDAD ABSOLUTA </w:t>
      </w:r>
      <w:r>
        <w:rPr>
          <w:sz w:val="26"/>
          <w:szCs w:val="26"/>
          <w:lang w:val="es-ES" w:eastAsia="es-ES"/>
        </w:rPr>
        <w:t>concomitante, presentados por el Lic. J</w:t>
      </w:r>
      <w:r w:rsidR="00FF4A8D">
        <w:rPr>
          <w:sz w:val="26"/>
          <w:szCs w:val="26"/>
          <w:lang w:val="es-ES" w:eastAsia="es-ES"/>
        </w:rPr>
        <w:t>.F.P.</w:t>
      </w:r>
      <w:r>
        <w:rPr>
          <w:sz w:val="26"/>
          <w:szCs w:val="26"/>
          <w:lang w:val="es-ES" w:eastAsia="es-ES"/>
        </w:rPr>
        <w:t>, de calidades conocidas y portador de la c</w:t>
      </w:r>
      <w:r w:rsidR="00FF4A8D">
        <w:rPr>
          <w:sz w:val="26"/>
          <w:szCs w:val="26"/>
          <w:lang w:val="es-ES" w:eastAsia="es-ES"/>
        </w:rPr>
        <w:t xml:space="preserve">édula de identidad </w:t>
      </w:r>
      <w:proofErr w:type="gramStart"/>
      <w:r w:rsidR="00FF4A8D">
        <w:rPr>
          <w:sz w:val="26"/>
          <w:szCs w:val="26"/>
          <w:lang w:val="es-ES" w:eastAsia="es-ES"/>
        </w:rPr>
        <w:t>número …</w:t>
      </w:r>
      <w:proofErr w:type="gramEnd"/>
      <w:r>
        <w:rPr>
          <w:sz w:val="26"/>
          <w:szCs w:val="26"/>
          <w:lang w:val="es-ES" w:eastAsia="es-ES"/>
        </w:rPr>
        <w:t>, como representante de los Recurrentes consignados en sus Memoriales Nos. CDP-ES-383-2013 y del CDP-ES-385-2013 hasta el CDP-ES-392-2013, interpuestos contra el Artículo 7.1 de la Sesión Extraordinaria No. 02-2013 de la</w:t>
      </w:r>
      <w:r>
        <w:rPr>
          <w:sz w:val="26"/>
          <w:szCs w:val="26"/>
          <w:lang w:val="es-ES" w:eastAsia="es-ES"/>
        </w:rPr>
        <w:t xml:space="preserve"> Junta Directiva del Consejo de Transporte Público, de fecha 05 de Agosto del 2013, el cual os el </w:t>
      </w:r>
      <w:r>
        <w:rPr>
          <w:b/>
          <w:bCs/>
          <w:i/>
          <w:iCs/>
          <w:sz w:val="26"/>
          <w:szCs w:val="26"/>
          <w:lang w:val="es-ES" w:eastAsia="es-ES"/>
        </w:rPr>
        <w:t xml:space="preserve">"Acto de Adjudicación del Procedimiento Abreviado para el </w:t>
      </w:r>
      <w:proofErr w:type="spellStart"/>
      <w:r>
        <w:rPr>
          <w:b/>
          <w:bCs/>
          <w:i/>
          <w:iCs/>
          <w:sz w:val="26"/>
          <w:szCs w:val="26"/>
          <w:lang w:val="es-ES" w:eastAsia="es-ES"/>
        </w:rPr>
        <w:t>Concesionamiento</w:t>
      </w:r>
      <w:proofErr w:type="spellEnd"/>
      <w:r>
        <w:rPr>
          <w:b/>
          <w:bCs/>
          <w:i/>
          <w:iCs/>
          <w:sz w:val="26"/>
          <w:szCs w:val="26"/>
          <w:lang w:val="es-ES" w:eastAsia="es-ES"/>
        </w:rPr>
        <w:t xml:space="preserve"> del Servicio Público de Taxis en la Base Especial de Operaciones del Aeropuerto Int</w:t>
      </w:r>
      <w:r>
        <w:rPr>
          <w:b/>
          <w:bCs/>
          <w:i/>
          <w:iCs/>
          <w:sz w:val="26"/>
          <w:szCs w:val="26"/>
          <w:lang w:val="es-ES" w:eastAsia="es-ES"/>
        </w:rPr>
        <w:t xml:space="preserve">ernacional Juan Santamaría". </w:t>
      </w:r>
      <w:r>
        <w:rPr>
          <w:b/>
          <w:bCs/>
          <w:sz w:val="26"/>
          <w:szCs w:val="26"/>
          <w:lang w:val="es-ES" w:eastAsia="es-ES"/>
        </w:rPr>
        <w:t>EXPEDIENTE No. TAT-187-14.</w:t>
      </w:r>
      <w:r>
        <w:rPr>
          <w:b/>
          <w:bCs/>
          <w:sz w:val="26"/>
          <w:szCs w:val="26"/>
          <w:lang w:val="es-ES" w:eastAsia="es-ES"/>
        </w:rPr>
        <w:noBreakHyphen/>
      </w:r>
    </w:p>
    <w:p w:rsidR="00000000" w:rsidRDefault="00F82AB1">
      <w:pPr>
        <w:kinsoku w:val="0"/>
        <w:overflowPunct w:val="0"/>
        <w:autoSpaceDE/>
        <w:autoSpaceDN/>
        <w:adjustRightInd/>
        <w:spacing w:before="524" w:line="298" w:lineRule="exact"/>
        <w:ind w:left="72"/>
        <w:jc w:val="center"/>
        <w:textAlignment w:val="baseline"/>
        <w:rPr>
          <w:b/>
          <w:bCs/>
          <w:i/>
          <w:iCs/>
          <w:sz w:val="26"/>
          <w:szCs w:val="26"/>
          <w:lang w:val="es-ES" w:eastAsia="es-ES"/>
        </w:rPr>
      </w:pPr>
      <w:r>
        <w:rPr>
          <w:b/>
          <w:bCs/>
          <w:i/>
          <w:iCs/>
          <w:sz w:val="26"/>
          <w:szCs w:val="26"/>
          <w:lang w:val="es-ES" w:eastAsia="es-ES"/>
        </w:rPr>
        <w:t>Resultando:</w:t>
      </w:r>
    </w:p>
    <w:p w:rsidR="00000000" w:rsidRDefault="00F82AB1">
      <w:pPr>
        <w:numPr>
          <w:ilvl w:val="0"/>
          <w:numId w:val="1"/>
        </w:numPr>
        <w:kinsoku w:val="0"/>
        <w:overflowPunct w:val="0"/>
        <w:autoSpaceDE/>
        <w:autoSpaceDN/>
        <w:adjustRightInd/>
        <w:spacing w:before="368" w:line="343" w:lineRule="exact"/>
        <w:ind w:right="504"/>
        <w:jc w:val="both"/>
        <w:textAlignment w:val="baseline"/>
        <w:rPr>
          <w:sz w:val="26"/>
          <w:szCs w:val="26"/>
          <w:lang w:val="es-ES" w:eastAsia="es-ES"/>
        </w:rPr>
      </w:pPr>
      <w:r>
        <w:rPr>
          <w:sz w:val="26"/>
          <w:szCs w:val="26"/>
          <w:lang w:val="es-ES" w:eastAsia="es-ES"/>
        </w:rPr>
        <w:t xml:space="preserve">Mediante el Artículo 7.1 de su Sesión Extraordinaria No. 02-2013 de la Junta Directiva del Consejo de Transporte Público, de fecha 05 de Agosto del 2013, emite el </w:t>
      </w:r>
      <w:r>
        <w:rPr>
          <w:b/>
          <w:bCs/>
          <w:i/>
          <w:iCs/>
          <w:sz w:val="26"/>
          <w:szCs w:val="26"/>
          <w:lang w:val="es-ES" w:eastAsia="es-ES"/>
        </w:rPr>
        <w:t>"Acto de Adjudicac</w:t>
      </w:r>
      <w:r>
        <w:rPr>
          <w:b/>
          <w:bCs/>
          <w:i/>
          <w:iCs/>
          <w:sz w:val="26"/>
          <w:szCs w:val="26"/>
          <w:lang w:val="es-ES" w:eastAsia="es-ES"/>
        </w:rPr>
        <w:t xml:space="preserve">ión del Procedimiento Abreviado para el </w:t>
      </w:r>
      <w:proofErr w:type="spellStart"/>
      <w:r>
        <w:rPr>
          <w:b/>
          <w:bCs/>
          <w:i/>
          <w:iCs/>
          <w:sz w:val="26"/>
          <w:szCs w:val="26"/>
          <w:lang w:val="es-ES" w:eastAsia="es-ES"/>
        </w:rPr>
        <w:t>Concesionamiento</w:t>
      </w:r>
      <w:proofErr w:type="spellEnd"/>
      <w:r>
        <w:rPr>
          <w:b/>
          <w:bCs/>
          <w:i/>
          <w:iCs/>
          <w:sz w:val="26"/>
          <w:szCs w:val="26"/>
          <w:lang w:val="es-ES" w:eastAsia="es-ES"/>
        </w:rPr>
        <w:t xml:space="preserve"> del Servicio Público de Taxis en la Base Especial de Operaciones del Aeropuerto Internacional Juan Santamaría". </w:t>
      </w:r>
      <w:r>
        <w:rPr>
          <w:sz w:val="26"/>
          <w:szCs w:val="26"/>
          <w:lang w:val="es-ES" w:eastAsia="es-ES"/>
        </w:rPr>
        <w:t>Excluyendo de tal Adjudicación a los Representados por el Lic. F</w:t>
      </w:r>
      <w:r w:rsidR="00FF4A8D">
        <w:rPr>
          <w:sz w:val="26"/>
          <w:szCs w:val="26"/>
          <w:lang w:val="es-ES" w:eastAsia="es-ES"/>
        </w:rPr>
        <w:t>.P.</w:t>
      </w:r>
    </w:p>
    <w:p w:rsidR="00000000" w:rsidRDefault="00F82AB1">
      <w:pPr>
        <w:numPr>
          <w:ilvl w:val="0"/>
          <w:numId w:val="1"/>
        </w:numPr>
        <w:kinsoku w:val="0"/>
        <w:overflowPunct w:val="0"/>
        <w:autoSpaceDE/>
        <w:autoSpaceDN/>
        <w:adjustRightInd/>
        <w:spacing w:before="228" w:line="262" w:lineRule="exact"/>
        <w:ind w:right="504"/>
        <w:jc w:val="both"/>
        <w:textAlignment w:val="baseline"/>
        <w:rPr>
          <w:sz w:val="26"/>
          <w:szCs w:val="26"/>
          <w:lang w:val="es-ES" w:eastAsia="es-ES"/>
        </w:rPr>
      </w:pPr>
      <w:r>
        <w:rPr>
          <w:sz w:val="26"/>
          <w:szCs w:val="26"/>
          <w:lang w:val="es-ES" w:eastAsia="es-ES"/>
        </w:rPr>
        <w:t xml:space="preserve">En lo general y vista su exclusión del Procedimiento Abreviado </w:t>
      </w:r>
      <w:r>
        <w:rPr>
          <w:i/>
          <w:iCs/>
          <w:sz w:val="26"/>
          <w:szCs w:val="26"/>
          <w:lang w:val="es-ES" w:eastAsia="es-ES"/>
        </w:rPr>
        <w:t xml:space="preserve">supra </w:t>
      </w:r>
      <w:r>
        <w:rPr>
          <w:sz w:val="26"/>
          <w:szCs w:val="26"/>
          <w:lang w:val="es-ES" w:eastAsia="es-ES"/>
        </w:rPr>
        <w:t>referido, los representados por el Lic. J</w:t>
      </w:r>
      <w:r w:rsidR="00FF4A8D">
        <w:rPr>
          <w:sz w:val="26"/>
          <w:szCs w:val="26"/>
          <w:lang w:val="es-ES" w:eastAsia="es-ES"/>
        </w:rPr>
        <w:t>.F.P.</w:t>
      </w:r>
      <w:r>
        <w:rPr>
          <w:sz w:val="26"/>
          <w:szCs w:val="26"/>
          <w:lang w:val="es-ES" w:eastAsia="es-ES"/>
        </w:rPr>
        <w:t>, procedieron a interponer formales Recursos de Revocatoria con Apelación en subsidio y Nulidad Absoluta</w:t>
      </w:r>
    </w:p>
    <w:p w:rsidR="00000000" w:rsidRDefault="00F82AB1">
      <w:pPr>
        <w:widowControl/>
        <w:rPr>
          <w:sz w:val="24"/>
          <w:szCs w:val="24"/>
        </w:rPr>
        <w:sectPr w:rsidR="00000000">
          <w:pgSz w:w="12240" w:h="15840"/>
          <w:pgMar w:top="1417" w:right="1230" w:bottom="230" w:left="1570" w:header="720" w:footer="720" w:gutter="0"/>
          <w:cols w:space="720"/>
          <w:noEndnote/>
        </w:sectPr>
      </w:pPr>
    </w:p>
    <w:p w:rsidR="00000000" w:rsidRDefault="00F82AB1">
      <w:pPr>
        <w:kinsoku w:val="0"/>
        <w:overflowPunct w:val="0"/>
        <w:autoSpaceDE/>
        <w:autoSpaceDN/>
        <w:adjustRightInd/>
        <w:spacing w:before="19" w:line="342" w:lineRule="exact"/>
        <w:ind w:left="288" w:right="216"/>
        <w:jc w:val="both"/>
        <w:textAlignment w:val="baseline"/>
        <w:rPr>
          <w:sz w:val="26"/>
          <w:szCs w:val="26"/>
          <w:lang w:val="es-ES" w:eastAsia="es-ES"/>
        </w:rPr>
      </w:pPr>
      <w:proofErr w:type="gramStart"/>
      <w:r>
        <w:rPr>
          <w:sz w:val="26"/>
          <w:szCs w:val="26"/>
          <w:lang w:val="es-ES" w:eastAsia="es-ES"/>
        </w:rPr>
        <w:lastRenderedPageBreak/>
        <w:t>concomitante</w:t>
      </w:r>
      <w:proofErr w:type="gramEnd"/>
      <w:r>
        <w:rPr>
          <w:sz w:val="26"/>
          <w:szCs w:val="26"/>
          <w:lang w:val="es-ES" w:eastAsia="es-ES"/>
        </w:rPr>
        <w:t>. Requiriendo la anulación completa del Acuerdo 7.1 de la Sesión Extraordinaria No. 02-2013 de la Junta Directiva del Consejo de Transporte Público y alegando supuestos vicios en la Conformación del Expediente del Concurso, Falta</w:t>
      </w:r>
      <w:r>
        <w:rPr>
          <w:sz w:val="26"/>
          <w:szCs w:val="26"/>
          <w:lang w:val="es-ES" w:eastAsia="es-ES"/>
        </w:rPr>
        <w:t xml:space="preserve"> de Aclaración de Observaciones Presentadas, Irrespeto a las Prórrogas Concedidas mediante el Decreto No. 36965-MOPT y la Aplicación de un Sistema de Calificación Ilegal.</w:t>
      </w:r>
    </w:p>
    <w:p w:rsidR="00000000" w:rsidRDefault="00F82AB1">
      <w:pPr>
        <w:numPr>
          <w:ilvl w:val="0"/>
          <w:numId w:val="2"/>
        </w:numPr>
        <w:kinsoku w:val="0"/>
        <w:overflowPunct w:val="0"/>
        <w:autoSpaceDE/>
        <w:autoSpaceDN/>
        <w:adjustRightInd/>
        <w:spacing w:before="209" w:line="342" w:lineRule="exact"/>
        <w:ind w:right="216"/>
        <w:jc w:val="both"/>
        <w:textAlignment w:val="baseline"/>
        <w:rPr>
          <w:i/>
          <w:iCs/>
          <w:sz w:val="26"/>
          <w:szCs w:val="26"/>
          <w:lang w:val="es-ES" w:eastAsia="es-ES"/>
        </w:rPr>
      </w:pPr>
      <w:r>
        <w:rPr>
          <w:sz w:val="26"/>
          <w:szCs w:val="26"/>
          <w:lang w:val="es-ES" w:eastAsia="es-ES"/>
        </w:rPr>
        <w:t>En general y luego de los Estudios de Mérito y en conocimiento de los respectiv</w:t>
      </w:r>
      <w:r>
        <w:rPr>
          <w:sz w:val="26"/>
          <w:szCs w:val="26"/>
          <w:lang w:val="es-ES" w:eastAsia="es-ES"/>
        </w:rPr>
        <w:t xml:space="preserve">os Recursos de Revocatoria y de las Nulidades concomitantes, los mismos fueron Rechazados en el ámbito del Consejo de Transporte Público. Generándose los pertinentes y particulares Actos de Rechazo por </w:t>
      </w:r>
      <w:proofErr w:type="spellStart"/>
      <w:r>
        <w:rPr>
          <w:sz w:val="26"/>
          <w:szCs w:val="26"/>
          <w:lang w:val="es-ES" w:eastAsia="es-ES"/>
        </w:rPr>
        <w:t>el</w:t>
      </w:r>
      <w:proofErr w:type="spellEnd"/>
      <w:r>
        <w:rPr>
          <w:sz w:val="26"/>
          <w:szCs w:val="26"/>
          <w:lang w:val="es-ES" w:eastAsia="es-ES"/>
        </w:rPr>
        <w:t xml:space="preserve"> </w:t>
      </w:r>
      <w:r>
        <w:rPr>
          <w:i/>
          <w:iCs/>
          <w:sz w:val="26"/>
          <w:szCs w:val="26"/>
          <w:lang w:val="es-ES" w:eastAsia="es-ES"/>
        </w:rPr>
        <w:t>A Quo.</w:t>
      </w:r>
    </w:p>
    <w:p w:rsidR="00000000" w:rsidRDefault="00F82AB1">
      <w:pPr>
        <w:numPr>
          <w:ilvl w:val="0"/>
          <w:numId w:val="2"/>
        </w:numPr>
        <w:kinsoku w:val="0"/>
        <w:overflowPunct w:val="0"/>
        <w:autoSpaceDE/>
        <w:autoSpaceDN/>
        <w:adjustRightInd/>
        <w:spacing w:before="223" w:line="342" w:lineRule="exact"/>
        <w:ind w:right="216"/>
        <w:jc w:val="both"/>
        <w:textAlignment w:val="baseline"/>
        <w:rPr>
          <w:sz w:val="26"/>
          <w:szCs w:val="26"/>
          <w:lang w:val="es-ES" w:eastAsia="es-ES"/>
        </w:rPr>
      </w:pPr>
      <w:r>
        <w:rPr>
          <w:sz w:val="26"/>
          <w:szCs w:val="26"/>
          <w:lang w:val="es-ES" w:eastAsia="es-ES"/>
        </w:rPr>
        <w:t xml:space="preserve">En cuanto a los Recursos antes aludidos (de </w:t>
      </w:r>
      <w:r>
        <w:rPr>
          <w:sz w:val="26"/>
          <w:szCs w:val="26"/>
          <w:lang w:val="es-ES" w:eastAsia="es-ES"/>
        </w:rPr>
        <w:t>forma genérica), mediante Memorial del 08 de Noviembre del 2013 (CDP-ES-462-2013), el Lic. Fonseca Pión presentó una Gestión de AMPLIACIÓN de los Recursos y Acciones presentadas mediante sus Memoriales Nos. CDP-ES-383-2013 y del CDP-ES-385-2013 hasta el CD</w:t>
      </w:r>
      <w:r>
        <w:rPr>
          <w:sz w:val="26"/>
          <w:szCs w:val="26"/>
          <w:lang w:val="es-ES" w:eastAsia="es-ES"/>
        </w:rPr>
        <w:t xml:space="preserve">P-ES-392-2013 (números de consecutivos propios del Abogado </w:t>
      </w:r>
      <w:proofErr w:type="spellStart"/>
      <w:r>
        <w:rPr>
          <w:sz w:val="26"/>
          <w:szCs w:val="26"/>
          <w:lang w:val="es-ES" w:eastAsia="es-ES"/>
        </w:rPr>
        <w:t>Patrocinante</w:t>
      </w:r>
      <w:proofErr w:type="spellEnd"/>
      <w:r>
        <w:rPr>
          <w:sz w:val="26"/>
          <w:szCs w:val="26"/>
          <w:lang w:val="es-ES" w:eastAsia="es-ES"/>
        </w:rPr>
        <w:t xml:space="preserve"> dicho).</w:t>
      </w:r>
    </w:p>
    <w:p w:rsidR="00000000" w:rsidRDefault="00F82AB1">
      <w:pPr>
        <w:numPr>
          <w:ilvl w:val="0"/>
          <w:numId w:val="2"/>
        </w:numPr>
        <w:kinsoku w:val="0"/>
        <w:overflowPunct w:val="0"/>
        <w:autoSpaceDE/>
        <w:autoSpaceDN/>
        <w:adjustRightInd/>
        <w:spacing w:before="225" w:line="342" w:lineRule="exact"/>
        <w:ind w:right="216"/>
        <w:jc w:val="both"/>
        <w:textAlignment w:val="baseline"/>
        <w:rPr>
          <w:sz w:val="26"/>
          <w:szCs w:val="26"/>
          <w:lang w:val="es-ES" w:eastAsia="es-ES"/>
        </w:rPr>
      </w:pPr>
      <w:r>
        <w:rPr>
          <w:sz w:val="26"/>
          <w:szCs w:val="26"/>
          <w:lang w:val="es-ES" w:eastAsia="es-ES"/>
        </w:rPr>
        <w:t>Por medio de su Acuerdo No. 6.9 de su Sesión Ordinaria No. 49-2014 del 10 de Setiembre del 2014, la Junta Directiva del Consejo de Transporte Público, dispone Rechazar las Ampl</w:t>
      </w:r>
      <w:r>
        <w:rPr>
          <w:sz w:val="26"/>
          <w:szCs w:val="26"/>
          <w:lang w:val="es-ES" w:eastAsia="es-ES"/>
        </w:rPr>
        <w:t xml:space="preserve">iaciones a los Recursos de Revocatoria presentados por el Accionante referido contra el </w:t>
      </w:r>
      <w:r>
        <w:rPr>
          <w:b/>
          <w:bCs/>
          <w:i/>
          <w:iCs/>
          <w:sz w:val="26"/>
          <w:szCs w:val="26"/>
          <w:lang w:val="es-ES" w:eastAsia="es-ES"/>
        </w:rPr>
        <w:t xml:space="preserve">"Acto de Adjudicación del Procedimiento Abreviado para el </w:t>
      </w:r>
      <w:proofErr w:type="spellStart"/>
      <w:r>
        <w:rPr>
          <w:b/>
          <w:bCs/>
          <w:i/>
          <w:iCs/>
          <w:sz w:val="26"/>
          <w:szCs w:val="26"/>
          <w:lang w:val="es-ES" w:eastAsia="es-ES"/>
        </w:rPr>
        <w:t>Concesionamiento</w:t>
      </w:r>
      <w:proofErr w:type="spellEnd"/>
      <w:r>
        <w:rPr>
          <w:b/>
          <w:bCs/>
          <w:i/>
          <w:iCs/>
          <w:sz w:val="26"/>
          <w:szCs w:val="26"/>
          <w:lang w:val="es-ES" w:eastAsia="es-ES"/>
        </w:rPr>
        <w:t xml:space="preserve"> del Servicio Público de Taxis en la Base Especial de Operaciones del Aeropuerto Internacional</w:t>
      </w:r>
      <w:r>
        <w:rPr>
          <w:b/>
          <w:bCs/>
          <w:i/>
          <w:iCs/>
          <w:sz w:val="26"/>
          <w:szCs w:val="26"/>
          <w:lang w:val="es-ES" w:eastAsia="es-ES"/>
        </w:rPr>
        <w:t xml:space="preserve"> Juan Santamaría", </w:t>
      </w:r>
      <w:r>
        <w:rPr>
          <w:sz w:val="26"/>
          <w:szCs w:val="26"/>
          <w:lang w:val="es-ES" w:eastAsia="es-ES"/>
        </w:rPr>
        <w:t>según sus referidos Memoriales Nos. CDP-ES-383-2013 y del CDP-ES-385-2013 hasta el CDP-ES-392-2013. Y eleva ante este Tribunal lo conducente.</w:t>
      </w:r>
    </w:p>
    <w:p w:rsidR="00000000" w:rsidRDefault="00F82AB1">
      <w:pPr>
        <w:numPr>
          <w:ilvl w:val="0"/>
          <w:numId w:val="2"/>
        </w:numPr>
        <w:kinsoku w:val="0"/>
        <w:overflowPunct w:val="0"/>
        <w:autoSpaceDE/>
        <w:autoSpaceDN/>
        <w:adjustRightInd/>
        <w:spacing w:before="213" w:line="332" w:lineRule="exact"/>
        <w:ind w:right="216"/>
        <w:jc w:val="both"/>
        <w:textAlignment w:val="baseline"/>
        <w:rPr>
          <w:sz w:val="26"/>
          <w:szCs w:val="26"/>
          <w:lang w:val="es-ES" w:eastAsia="es-ES"/>
        </w:rPr>
      </w:pPr>
      <w:r>
        <w:rPr>
          <w:sz w:val="26"/>
          <w:szCs w:val="26"/>
          <w:lang w:val="es-ES" w:eastAsia="es-ES"/>
        </w:rPr>
        <w:t>En mérito de todo lo anterior y conforme a los té</w:t>
      </w:r>
      <w:r>
        <w:rPr>
          <w:sz w:val="26"/>
          <w:szCs w:val="26"/>
          <w:lang w:val="es-ES" w:eastAsia="es-ES"/>
        </w:rPr>
        <w:t>rminos y prescripciones de Ley, procede a resolver este Tribunal; y</w:t>
      </w:r>
    </w:p>
    <w:p w:rsidR="00000000" w:rsidRDefault="00F82AB1">
      <w:pPr>
        <w:kinsoku w:val="0"/>
        <w:overflowPunct w:val="0"/>
        <w:autoSpaceDE/>
        <w:autoSpaceDN/>
        <w:adjustRightInd/>
        <w:spacing w:before="791" w:line="301" w:lineRule="exact"/>
        <w:ind w:left="288"/>
        <w:textAlignment w:val="baseline"/>
        <w:rPr>
          <w:b/>
          <w:bCs/>
          <w:i/>
          <w:iCs/>
          <w:spacing w:val="-1"/>
          <w:sz w:val="26"/>
          <w:szCs w:val="26"/>
          <w:lang w:val="es-ES" w:eastAsia="es-ES"/>
        </w:rPr>
      </w:pPr>
      <w:r>
        <w:rPr>
          <w:b/>
          <w:bCs/>
          <w:i/>
          <w:iCs/>
          <w:spacing w:val="-1"/>
          <w:sz w:val="26"/>
          <w:szCs w:val="26"/>
          <w:lang w:val="es-ES" w:eastAsia="es-ES"/>
        </w:rPr>
        <w:t>REDACTA EL JUEZ QUESADA AGUIRRE,</w:t>
      </w:r>
    </w:p>
    <w:p w:rsidR="00000000" w:rsidRDefault="00F82AB1">
      <w:pPr>
        <w:kinsoku w:val="0"/>
        <w:overflowPunct w:val="0"/>
        <w:autoSpaceDE/>
        <w:autoSpaceDN/>
        <w:adjustRightInd/>
        <w:spacing w:before="469" w:line="295" w:lineRule="exact"/>
        <w:jc w:val="center"/>
        <w:textAlignment w:val="baseline"/>
        <w:rPr>
          <w:b/>
          <w:bCs/>
          <w:i/>
          <w:iCs/>
          <w:spacing w:val="-1"/>
          <w:sz w:val="26"/>
          <w:szCs w:val="26"/>
          <w:lang w:val="es-ES" w:eastAsia="es-ES"/>
        </w:rPr>
      </w:pPr>
      <w:r>
        <w:rPr>
          <w:b/>
          <w:bCs/>
          <w:i/>
          <w:iCs/>
          <w:spacing w:val="-1"/>
          <w:sz w:val="26"/>
          <w:szCs w:val="26"/>
          <w:lang w:val="es-ES" w:eastAsia="es-ES"/>
        </w:rPr>
        <w:t>Considerando:</w:t>
      </w:r>
    </w:p>
    <w:p w:rsidR="00000000" w:rsidRDefault="00F82AB1">
      <w:pPr>
        <w:kinsoku w:val="0"/>
        <w:overflowPunct w:val="0"/>
        <w:autoSpaceDE/>
        <w:autoSpaceDN/>
        <w:adjustRightInd/>
        <w:spacing w:before="410" w:line="351" w:lineRule="exact"/>
        <w:ind w:left="216"/>
        <w:jc w:val="both"/>
        <w:textAlignment w:val="baseline"/>
        <w:rPr>
          <w:sz w:val="26"/>
          <w:szCs w:val="26"/>
          <w:lang w:val="es-ES" w:eastAsia="es-ES"/>
        </w:rPr>
      </w:pPr>
      <w:r>
        <w:rPr>
          <w:b/>
          <w:bCs/>
          <w:sz w:val="26"/>
          <w:szCs w:val="26"/>
          <w:lang w:val="es-ES" w:eastAsia="es-ES"/>
        </w:rPr>
        <w:t xml:space="preserve">ÚNICO: </w:t>
      </w:r>
      <w:r>
        <w:rPr>
          <w:sz w:val="26"/>
          <w:szCs w:val="26"/>
          <w:lang w:val="es-ES" w:eastAsia="es-ES"/>
        </w:rPr>
        <w:t>En este Caso y sin afectació</w:t>
      </w:r>
      <w:r>
        <w:rPr>
          <w:sz w:val="26"/>
          <w:szCs w:val="26"/>
          <w:lang w:val="es-ES" w:eastAsia="es-ES"/>
        </w:rPr>
        <w:t>n de lo que se defina en cuanto a los Expedientes y/o Casos Principales de los Recursos interpuestos por el Lic. F</w:t>
      </w:r>
      <w:r w:rsidR="00FF4A8D">
        <w:rPr>
          <w:sz w:val="26"/>
          <w:szCs w:val="26"/>
          <w:lang w:val="es-ES" w:eastAsia="es-ES"/>
        </w:rPr>
        <w:t>.</w:t>
      </w:r>
    </w:p>
    <w:p w:rsidR="00000000" w:rsidRDefault="00F82AB1">
      <w:pPr>
        <w:widowControl/>
        <w:rPr>
          <w:sz w:val="24"/>
          <w:szCs w:val="24"/>
        </w:rPr>
        <w:sectPr w:rsidR="00000000">
          <w:pgSz w:w="12240" w:h="15840"/>
          <w:pgMar w:top="1400" w:right="1414" w:bottom="244" w:left="1386" w:header="720" w:footer="720" w:gutter="0"/>
          <w:cols w:space="720"/>
          <w:noEndnote/>
        </w:sectPr>
      </w:pPr>
    </w:p>
    <w:p w:rsidR="00000000" w:rsidRDefault="00F82AB1">
      <w:pPr>
        <w:kinsoku w:val="0"/>
        <w:overflowPunct w:val="0"/>
        <w:autoSpaceDE/>
        <w:autoSpaceDN/>
        <w:adjustRightInd/>
        <w:spacing w:line="338" w:lineRule="exact"/>
        <w:ind w:right="72"/>
        <w:jc w:val="both"/>
        <w:textAlignment w:val="baseline"/>
        <w:rPr>
          <w:sz w:val="26"/>
          <w:szCs w:val="26"/>
          <w:lang w:val="es-ES" w:eastAsia="es-ES"/>
        </w:rPr>
      </w:pPr>
      <w:r>
        <w:rPr>
          <w:sz w:val="26"/>
          <w:szCs w:val="26"/>
          <w:lang w:val="es-ES" w:eastAsia="es-ES"/>
        </w:rPr>
        <w:t>P</w:t>
      </w:r>
      <w:r w:rsidR="00FF4A8D">
        <w:rPr>
          <w:sz w:val="26"/>
          <w:szCs w:val="26"/>
          <w:lang w:val="es-ES" w:eastAsia="es-ES"/>
        </w:rPr>
        <w:t>.</w:t>
      </w:r>
      <w:r>
        <w:rPr>
          <w:sz w:val="26"/>
          <w:szCs w:val="26"/>
          <w:lang w:val="es-ES" w:eastAsia="es-ES"/>
        </w:rPr>
        <w:t xml:space="preserve"> contra el Acuerdo 7.1 de la Sesión Extraordinaria No. 02-2013 de la Junta Directiva del Consejo de Transporte Público, lo que se tramita y define es lo atinente a formales AMPLIACIONES presentadas </w:t>
      </w:r>
      <w:r>
        <w:rPr>
          <w:i/>
          <w:iCs/>
          <w:sz w:val="26"/>
          <w:szCs w:val="26"/>
          <w:lang w:val="es-ES" w:eastAsia="es-ES"/>
        </w:rPr>
        <w:t xml:space="preserve">—ex </w:t>
      </w:r>
      <w:proofErr w:type="spellStart"/>
      <w:r>
        <w:rPr>
          <w:i/>
          <w:iCs/>
          <w:sz w:val="26"/>
          <w:szCs w:val="26"/>
          <w:lang w:val="es-ES" w:eastAsia="es-ES"/>
        </w:rPr>
        <w:t>tunc</w:t>
      </w:r>
      <w:proofErr w:type="spellEnd"/>
      <w:r>
        <w:rPr>
          <w:i/>
          <w:iCs/>
          <w:sz w:val="26"/>
          <w:szCs w:val="26"/>
          <w:lang w:val="es-ES" w:eastAsia="es-ES"/>
        </w:rPr>
        <w:t xml:space="preserve">- </w:t>
      </w:r>
      <w:r>
        <w:rPr>
          <w:sz w:val="26"/>
          <w:szCs w:val="26"/>
          <w:lang w:val="es-ES" w:eastAsia="es-ES"/>
        </w:rPr>
        <w:t>por el Representante Legal en cuestión,</w:t>
      </w:r>
      <w:r>
        <w:rPr>
          <w:sz w:val="26"/>
          <w:szCs w:val="26"/>
          <w:lang w:val="es-ES" w:eastAsia="es-ES"/>
        </w:rPr>
        <w:t xml:space="preserve"> en cuanto a los Recursos y Acciones presentadas mediante sus Memoriales Nos. CDP-ES-383-2013 y del CDP-ES-385-2013 hasta el CDP-ES-392-2013 (números de consecutivos propios del Abogado </w:t>
      </w:r>
      <w:proofErr w:type="spellStart"/>
      <w:r>
        <w:rPr>
          <w:sz w:val="26"/>
          <w:szCs w:val="26"/>
          <w:lang w:val="es-ES" w:eastAsia="es-ES"/>
        </w:rPr>
        <w:t>Patrocinante</w:t>
      </w:r>
      <w:proofErr w:type="spellEnd"/>
      <w:r>
        <w:rPr>
          <w:sz w:val="26"/>
          <w:szCs w:val="26"/>
          <w:lang w:val="es-ES" w:eastAsia="es-ES"/>
        </w:rPr>
        <w:t xml:space="preserve"> dicho).</w:t>
      </w:r>
    </w:p>
    <w:p w:rsidR="00000000" w:rsidRDefault="00F82AB1">
      <w:pPr>
        <w:kinsoku w:val="0"/>
        <w:overflowPunct w:val="0"/>
        <w:autoSpaceDE/>
        <w:autoSpaceDN/>
        <w:adjustRightInd/>
        <w:spacing w:before="211" w:line="346" w:lineRule="exact"/>
        <w:ind w:right="72"/>
        <w:jc w:val="both"/>
        <w:textAlignment w:val="baseline"/>
        <w:rPr>
          <w:spacing w:val="1"/>
          <w:sz w:val="26"/>
          <w:szCs w:val="26"/>
          <w:lang w:val="es-ES" w:eastAsia="es-ES"/>
        </w:rPr>
      </w:pPr>
      <w:r>
        <w:rPr>
          <w:spacing w:val="1"/>
          <w:sz w:val="26"/>
          <w:szCs w:val="26"/>
          <w:lang w:val="es-ES" w:eastAsia="es-ES"/>
        </w:rPr>
        <w:t>En tal sentido y considerando que se trata de AMP</w:t>
      </w:r>
      <w:r>
        <w:rPr>
          <w:spacing w:val="1"/>
          <w:sz w:val="26"/>
          <w:szCs w:val="26"/>
          <w:lang w:val="es-ES" w:eastAsia="es-ES"/>
        </w:rPr>
        <w:t>LIACIONES realizadas de propia voluntad, debemos reflexionar sobre su procedencia en la Materia que nos ocupa. Recuérdese que se trata de la Impugnación de un Acto de Adjudicación de un Procedimiento Concursal, es decir, estamos frente a la materia de la C</w:t>
      </w:r>
      <w:r>
        <w:rPr>
          <w:spacing w:val="1"/>
          <w:sz w:val="26"/>
          <w:szCs w:val="26"/>
          <w:lang w:val="es-ES" w:eastAsia="es-ES"/>
        </w:rPr>
        <w:t>ontratación Administrativa y que en ésta la Legitimación para Impugnar es mayormente agravada a lo que en lo general dispone la Ley General de la Administración Pública; amén de que se presentan otros requerimientos formales y de fondo que de forma agravad</w:t>
      </w:r>
      <w:r>
        <w:rPr>
          <w:spacing w:val="1"/>
          <w:sz w:val="26"/>
          <w:szCs w:val="26"/>
          <w:lang w:val="es-ES" w:eastAsia="es-ES"/>
        </w:rPr>
        <w:t>a vienen a determinar o no la procedencia y/o admisibilidad de Gestiones como las que se atienden y resuelven por este medio y que fueran —como se ha dicho- presentadas por el Lic. F</w:t>
      </w:r>
      <w:r w:rsidR="00FF4A8D">
        <w:rPr>
          <w:spacing w:val="1"/>
          <w:sz w:val="26"/>
          <w:szCs w:val="26"/>
          <w:lang w:val="es-ES" w:eastAsia="es-ES"/>
        </w:rPr>
        <w:t>.P.</w:t>
      </w:r>
      <w:r>
        <w:rPr>
          <w:spacing w:val="1"/>
          <w:sz w:val="26"/>
          <w:szCs w:val="26"/>
          <w:lang w:val="es-ES" w:eastAsia="es-ES"/>
        </w:rPr>
        <w:t xml:space="preserve"> luego de sus Impugnaciones Primarias contra el Acto de Adjudic</w:t>
      </w:r>
      <w:r>
        <w:rPr>
          <w:spacing w:val="1"/>
          <w:sz w:val="26"/>
          <w:szCs w:val="26"/>
          <w:lang w:val="es-ES" w:eastAsia="es-ES"/>
        </w:rPr>
        <w:t>ación ya mencionado.</w:t>
      </w:r>
    </w:p>
    <w:p w:rsidR="00000000" w:rsidRDefault="00F82AB1">
      <w:pPr>
        <w:kinsoku w:val="0"/>
        <w:overflowPunct w:val="0"/>
        <w:autoSpaceDE/>
        <w:autoSpaceDN/>
        <w:adjustRightInd/>
        <w:spacing w:before="206" w:line="340" w:lineRule="exact"/>
        <w:ind w:right="72"/>
        <w:jc w:val="both"/>
        <w:textAlignment w:val="baseline"/>
        <w:rPr>
          <w:sz w:val="26"/>
          <w:szCs w:val="26"/>
          <w:lang w:val="es-ES" w:eastAsia="es-ES"/>
        </w:rPr>
      </w:pPr>
      <w:r>
        <w:rPr>
          <w:sz w:val="26"/>
          <w:szCs w:val="26"/>
          <w:lang w:val="es-ES" w:eastAsia="es-ES"/>
        </w:rPr>
        <w:t>En tal orden de ideas el numeral 88 de la Ley de la Contratación Administrativa establece:</w:t>
      </w:r>
    </w:p>
    <w:p w:rsidR="00000000" w:rsidRDefault="00F82AB1">
      <w:pPr>
        <w:kinsoku w:val="0"/>
        <w:overflowPunct w:val="0"/>
        <w:autoSpaceDE/>
        <w:autoSpaceDN/>
        <w:adjustRightInd/>
        <w:spacing w:before="330" w:line="300" w:lineRule="exact"/>
        <w:ind w:left="576" w:right="720"/>
        <w:jc w:val="both"/>
        <w:textAlignment w:val="baseline"/>
        <w:rPr>
          <w:sz w:val="26"/>
          <w:szCs w:val="26"/>
          <w:lang w:val="es-ES" w:eastAsia="es-ES"/>
        </w:rPr>
      </w:pPr>
      <w:r>
        <w:rPr>
          <w:b/>
          <w:bCs/>
          <w:sz w:val="26"/>
          <w:szCs w:val="26"/>
          <w:lang w:val="es-ES" w:eastAsia="es-ES"/>
        </w:rPr>
        <w:t>Artículo 88</w:t>
      </w:r>
      <w:proofErr w:type="gramStart"/>
      <w:r>
        <w:rPr>
          <w:b/>
          <w:bCs/>
          <w:sz w:val="26"/>
          <w:szCs w:val="26"/>
          <w:lang w:val="es-ES" w:eastAsia="es-ES"/>
        </w:rPr>
        <w:t>.—</w:t>
      </w:r>
      <w:proofErr w:type="gramEnd"/>
      <w:r>
        <w:rPr>
          <w:b/>
          <w:bCs/>
          <w:sz w:val="26"/>
          <w:szCs w:val="26"/>
          <w:lang w:val="es-ES" w:eastAsia="es-ES"/>
        </w:rPr>
        <w:t xml:space="preserve">Fundamentación del Recurso. </w:t>
      </w:r>
      <w:r>
        <w:rPr>
          <w:sz w:val="26"/>
          <w:szCs w:val="26"/>
          <w:lang w:val="es-ES" w:eastAsia="es-ES"/>
        </w:rPr>
        <w:t>El recurso de apelación deberá indicar, con precisión, la infracción sustancial del ordenamiento jurídi</w:t>
      </w:r>
      <w:r>
        <w:rPr>
          <w:sz w:val="26"/>
          <w:szCs w:val="26"/>
          <w:lang w:val="es-ES" w:eastAsia="es-ES"/>
        </w:rPr>
        <w:t>co que se alegue como fundamento de la impugnación. Cuando se discrepe de los estudios que sirven de motivo a la administración para adoptar su decisión, el apelante deberá rebatir, en forma razonada, esos antecedentes; para ello, deberá aportar los dictám</w:t>
      </w:r>
      <w:r>
        <w:rPr>
          <w:sz w:val="26"/>
          <w:szCs w:val="26"/>
          <w:lang w:val="es-ES" w:eastAsia="es-ES"/>
        </w:rPr>
        <w:t>enes y estudios emitidos por profesionales calificados.</w:t>
      </w:r>
    </w:p>
    <w:p w:rsidR="00000000" w:rsidRDefault="00F82AB1">
      <w:pPr>
        <w:kinsoku w:val="0"/>
        <w:overflowPunct w:val="0"/>
        <w:autoSpaceDE/>
        <w:autoSpaceDN/>
        <w:adjustRightInd/>
        <w:spacing w:before="278" w:line="297" w:lineRule="exact"/>
        <w:ind w:left="576" w:right="720"/>
        <w:jc w:val="both"/>
        <w:textAlignment w:val="baseline"/>
        <w:rPr>
          <w:spacing w:val="-1"/>
          <w:sz w:val="26"/>
          <w:szCs w:val="26"/>
          <w:lang w:val="es-ES" w:eastAsia="es-ES"/>
        </w:rPr>
      </w:pPr>
      <w:r>
        <w:rPr>
          <w:spacing w:val="-1"/>
          <w:sz w:val="26"/>
          <w:szCs w:val="26"/>
          <w:lang w:val="es-ES" w:eastAsia="es-ES"/>
        </w:rPr>
        <w:t xml:space="preserve">En los casos en que se apele un acto de </w:t>
      </w:r>
      <w:proofErr w:type="spellStart"/>
      <w:r>
        <w:rPr>
          <w:spacing w:val="-1"/>
          <w:sz w:val="26"/>
          <w:szCs w:val="26"/>
          <w:lang w:val="es-ES" w:eastAsia="es-ES"/>
        </w:rPr>
        <w:t>readjudicación</w:t>
      </w:r>
      <w:proofErr w:type="spellEnd"/>
      <w:r>
        <w:rPr>
          <w:spacing w:val="-1"/>
          <w:sz w:val="26"/>
          <w:szCs w:val="26"/>
          <w:lang w:val="es-ES" w:eastAsia="es-ES"/>
        </w:rPr>
        <w:t>, la impugnación, únicamente deberá girar contra las actuaciones realizadas con posterioridad a la resolución anulatoria, y cualquier situación qu</w:t>
      </w:r>
      <w:r>
        <w:rPr>
          <w:spacing w:val="-1"/>
          <w:sz w:val="26"/>
          <w:szCs w:val="26"/>
          <w:lang w:val="es-ES" w:eastAsia="es-ES"/>
        </w:rPr>
        <w:t xml:space="preserve">e se haya conocido desde que se dictó el acto de adjudicación estará </w:t>
      </w:r>
      <w:proofErr w:type="spellStart"/>
      <w:r>
        <w:rPr>
          <w:spacing w:val="-1"/>
          <w:sz w:val="26"/>
          <w:szCs w:val="26"/>
          <w:lang w:val="es-ES" w:eastAsia="es-ES"/>
        </w:rPr>
        <w:t>precluída</w:t>
      </w:r>
      <w:proofErr w:type="spellEnd"/>
      <w:r>
        <w:rPr>
          <w:spacing w:val="-1"/>
          <w:sz w:val="26"/>
          <w:szCs w:val="26"/>
          <w:lang w:val="es-ES" w:eastAsia="es-ES"/>
        </w:rPr>
        <w:t>.</w:t>
      </w:r>
    </w:p>
    <w:p w:rsidR="00000000" w:rsidRDefault="00F82AB1">
      <w:pPr>
        <w:kinsoku w:val="0"/>
        <w:overflowPunct w:val="0"/>
        <w:autoSpaceDE/>
        <w:autoSpaceDN/>
        <w:adjustRightInd/>
        <w:spacing w:before="301" w:line="298" w:lineRule="exact"/>
        <w:ind w:left="576" w:right="720"/>
        <w:jc w:val="both"/>
        <w:textAlignment w:val="baseline"/>
        <w:rPr>
          <w:i/>
          <w:iCs/>
          <w:sz w:val="26"/>
          <w:szCs w:val="26"/>
          <w:lang w:val="es-ES" w:eastAsia="es-ES"/>
        </w:rPr>
      </w:pPr>
      <w:r>
        <w:rPr>
          <w:i/>
          <w:iCs/>
          <w:sz w:val="26"/>
          <w:szCs w:val="26"/>
          <w:lang w:val="es-ES" w:eastAsia="es-ES"/>
        </w:rPr>
        <w:t>(Así reformado mediante el artículo 1° de la ley N° 8511 del 16 de mayo del 2006).</w:t>
      </w:r>
    </w:p>
    <w:p w:rsidR="00000000" w:rsidRDefault="00F82AB1">
      <w:pPr>
        <w:kinsoku w:val="0"/>
        <w:overflowPunct w:val="0"/>
        <w:autoSpaceDE/>
        <w:autoSpaceDN/>
        <w:adjustRightInd/>
        <w:spacing w:before="262" w:line="339" w:lineRule="exact"/>
        <w:ind w:right="72"/>
        <w:jc w:val="both"/>
        <w:textAlignment w:val="baseline"/>
        <w:rPr>
          <w:sz w:val="26"/>
          <w:szCs w:val="26"/>
          <w:lang w:val="es-ES" w:eastAsia="es-ES"/>
        </w:rPr>
      </w:pPr>
      <w:r>
        <w:rPr>
          <w:sz w:val="26"/>
          <w:szCs w:val="26"/>
          <w:lang w:val="es-ES" w:eastAsia="es-ES"/>
        </w:rPr>
        <w:t>Y en concordancia con él mismo, el numeral 177 del Reglamento a la Ley de la Contratació</w:t>
      </w:r>
      <w:r>
        <w:rPr>
          <w:sz w:val="26"/>
          <w:szCs w:val="26"/>
          <w:lang w:val="es-ES" w:eastAsia="es-ES"/>
        </w:rPr>
        <w:t>n Administrativa señala:</w:t>
      </w:r>
    </w:p>
    <w:p w:rsidR="00000000" w:rsidRDefault="00F82AB1">
      <w:pPr>
        <w:widowControl/>
        <w:rPr>
          <w:sz w:val="24"/>
          <w:szCs w:val="24"/>
        </w:rPr>
        <w:sectPr w:rsidR="00000000">
          <w:pgSz w:w="12240" w:h="15840"/>
          <w:pgMar w:top="1417" w:right="1598" w:bottom="1308" w:left="1642" w:header="720" w:footer="720" w:gutter="0"/>
          <w:cols w:space="720"/>
          <w:noEndnote/>
        </w:sectPr>
      </w:pPr>
    </w:p>
    <w:p w:rsidR="00000000" w:rsidRDefault="00F82AB1">
      <w:pPr>
        <w:kinsoku w:val="0"/>
        <w:overflowPunct w:val="0"/>
        <w:autoSpaceDE/>
        <w:autoSpaceDN/>
        <w:adjustRightInd/>
        <w:spacing w:before="14" w:line="344" w:lineRule="exact"/>
        <w:ind w:left="648" w:right="1080"/>
        <w:jc w:val="both"/>
        <w:textAlignment w:val="baseline"/>
        <w:rPr>
          <w:spacing w:val="-2"/>
          <w:sz w:val="26"/>
          <w:szCs w:val="26"/>
          <w:lang w:val="es-ES" w:eastAsia="es-ES"/>
        </w:rPr>
      </w:pPr>
      <w:r>
        <w:rPr>
          <w:b/>
          <w:bCs/>
          <w:spacing w:val="-2"/>
          <w:sz w:val="26"/>
          <w:szCs w:val="26"/>
          <w:lang w:val="es-ES" w:eastAsia="es-ES"/>
        </w:rPr>
        <w:t>Artículo 177</w:t>
      </w:r>
      <w:proofErr w:type="gramStart"/>
      <w:r>
        <w:rPr>
          <w:b/>
          <w:bCs/>
          <w:spacing w:val="-2"/>
          <w:sz w:val="26"/>
          <w:szCs w:val="26"/>
          <w:lang w:val="es-ES" w:eastAsia="es-ES"/>
        </w:rPr>
        <w:t>.—</w:t>
      </w:r>
      <w:proofErr w:type="gramEnd"/>
      <w:r>
        <w:rPr>
          <w:b/>
          <w:bCs/>
          <w:spacing w:val="-2"/>
          <w:sz w:val="26"/>
          <w:szCs w:val="26"/>
          <w:lang w:val="es-ES" w:eastAsia="es-ES"/>
        </w:rPr>
        <w:t xml:space="preserve">Fundamentación. </w:t>
      </w:r>
      <w:r>
        <w:rPr>
          <w:spacing w:val="-2"/>
          <w:sz w:val="26"/>
          <w:szCs w:val="26"/>
          <w:lang w:val="es-ES" w:eastAsia="es-ES"/>
        </w:rPr>
        <w:t xml:space="preserve">El escrito de apelación deberá indicar </w:t>
      </w:r>
      <w:r>
        <w:rPr>
          <w:spacing w:val="-2"/>
          <w:sz w:val="26"/>
          <w:szCs w:val="26"/>
          <w:u w:val="single"/>
          <w:lang w:val="es-ES" w:eastAsia="es-ES"/>
        </w:rPr>
        <w:t>con precisión</w:t>
      </w:r>
      <w:r>
        <w:rPr>
          <w:spacing w:val="-2"/>
          <w:sz w:val="26"/>
          <w:szCs w:val="26"/>
          <w:lang w:val="es-ES" w:eastAsia="es-ES"/>
        </w:rPr>
        <w:t xml:space="preserve"> la infracción sustancial del ordenamiento jurídico que se alega como fundamento de la impugnación, así como individualizar las lí</w:t>
      </w:r>
      <w:r>
        <w:rPr>
          <w:spacing w:val="-2"/>
          <w:sz w:val="26"/>
          <w:szCs w:val="26"/>
          <w:lang w:val="es-ES" w:eastAsia="es-ES"/>
        </w:rPr>
        <w:t>neas que se recurren. El apelante deberá aportar la prueba en que se apoyen sus argumentaciones, y cuando discrepe de los estudios que sirven de motivo para adoptar la decisión, deberá rebatir en forma razonada tales estudios, aportando los dictámenes y es</w:t>
      </w:r>
      <w:r>
        <w:rPr>
          <w:spacing w:val="-2"/>
          <w:sz w:val="26"/>
          <w:szCs w:val="26"/>
          <w:lang w:val="es-ES" w:eastAsia="es-ES"/>
        </w:rPr>
        <w:t>tudios emitidos por profesionales calificados en la materia que se impugna.</w:t>
      </w:r>
    </w:p>
    <w:p w:rsidR="00000000" w:rsidRDefault="00F82AB1">
      <w:pPr>
        <w:kinsoku w:val="0"/>
        <w:overflowPunct w:val="0"/>
        <w:autoSpaceDE/>
        <w:autoSpaceDN/>
        <w:adjustRightInd/>
        <w:spacing w:before="291" w:line="344" w:lineRule="exact"/>
        <w:ind w:left="648" w:right="1080"/>
        <w:jc w:val="both"/>
        <w:textAlignment w:val="baseline"/>
        <w:rPr>
          <w:sz w:val="26"/>
          <w:szCs w:val="26"/>
          <w:lang w:val="es-ES" w:eastAsia="es-ES"/>
        </w:rPr>
      </w:pPr>
      <w:r>
        <w:rPr>
          <w:sz w:val="26"/>
          <w:szCs w:val="26"/>
          <w:lang w:val="es-ES" w:eastAsia="es-ES"/>
        </w:rPr>
        <w:t>El ofrecimiento de prueba que no pueda presentarse al momento de la interposición del recurso, deberá contemplarse en el escrito de apelación, con indicación expresa de los motivos</w:t>
      </w:r>
      <w:r>
        <w:rPr>
          <w:sz w:val="26"/>
          <w:szCs w:val="26"/>
          <w:lang w:val="es-ES" w:eastAsia="es-ES"/>
        </w:rPr>
        <w:t xml:space="preserve"> por los cuales no puede ser aportada en ese momento. En todo caso, la presentación de dicha prueba debe realizarse dentro del primer tercio del plazo con que cuenta la Contraloría General de la República para resolver el recurso.</w:t>
      </w:r>
    </w:p>
    <w:p w:rsidR="00000000" w:rsidRDefault="00F82AB1">
      <w:pPr>
        <w:kinsoku w:val="0"/>
        <w:overflowPunct w:val="0"/>
        <w:autoSpaceDE/>
        <w:autoSpaceDN/>
        <w:adjustRightInd/>
        <w:spacing w:before="287" w:line="344" w:lineRule="exact"/>
        <w:ind w:left="648" w:right="1080"/>
        <w:jc w:val="both"/>
        <w:textAlignment w:val="baseline"/>
        <w:rPr>
          <w:sz w:val="26"/>
          <w:szCs w:val="26"/>
          <w:lang w:val="es-ES" w:eastAsia="es-ES"/>
        </w:rPr>
      </w:pPr>
      <w:r>
        <w:rPr>
          <w:sz w:val="26"/>
          <w:szCs w:val="26"/>
          <w:lang w:val="es-ES" w:eastAsia="es-ES"/>
        </w:rPr>
        <w:t>Cuando se apele un acto d</w:t>
      </w:r>
      <w:r>
        <w:rPr>
          <w:sz w:val="26"/>
          <w:szCs w:val="26"/>
          <w:lang w:val="es-ES" w:eastAsia="es-ES"/>
        </w:rPr>
        <w:t xml:space="preserve">e </w:t>
      </w:r>
      <w:proofErr w:type="spellStart"/>
      <w:r>
        <w:rPr>
          <w:sz w:val="26"/>
          <w:szCs w:val="26"/>
          <w:lang w:val="es-ES" w:eastAsia="es-ES"/>
        </w:rPr>
        <w:t>readjudicación</w:t>
      </w:r>
      <w:proofErr w:type="spellEnd"/>
      <w:r>
        <w:rPr>
          <w:sz w:val="26"/>
          <w:szCs w:val="26"/>
          <w:lang w:val="es-ES" w:eastAsia="es-ES"/>
        </w:rPr>
        <w:t xml:space="preserve">, el fundamento del recurso debe girar únicamente contra las actuaciones realizadas con posterioridad a la resolución anulatoria estando </w:t>
      </w:r>
      <w:proofErr w:type="spellStart"/>
      <w:r>
        <w:rPr>
          <w:sz w:val="26"/>
          <w:szCs w:val="26"/>
          <w:lang w:val="es-ES" w:eastAsia="es-ES"/>
        </w:rPr>
        <w:t>precluida</w:t>
      </w:r>
      <w:proofErr w:type="spellEnd"/>
      <w:r>
        <w:rPr>
          <w:sz w:val="26"/>
          <w:szCs w:val="26"/>
          <w:lang w:val="es-ES" w:eastAsia="es-ES"/>
        </w:rPr>
        <w:t xml:space="preserve"> cualquier situación que se conociera desde que se dictó el acto de adjudicación.</w:t>
      </w:r>
    </w:p>
    <w:p w:rsidR="00000000" w:rsidRDefault="00F82AB1">
      <w:pPr>
        <w:kinsoku w:val="0"/>
        <w:overflowPunct w:val="0"/>
        <w:autoSpaceDE/>
        <w:autoSpaceDN/>
        <w:adjustRightInd/>
        <w:spacing w:before="291" w:line="344" w:lineRule="exact"/>
        <w:ind w:right="504"/>
        <w:jc w:val="both"/>
        <w:textAlignment w:val="baseline"/>
        <w:rPr>
          <w:sz w:val="26"/>
          <w:szCs w:val="26"/>
          <w:lang w:val="es-ES" w:eastAsia="es-ES"/>
        </w:rPr>
      </w:pPr>
      <w:r>
        <w:rPr>
          <w:sz w:val="26"/>
          <w:szCs w:val="26"/>
          <w:lang w:val="es-ES" w:eastAsia="es-ES"/>
        </w:rPr>
        <w:t xml:space="preserve">En el mismo </w:t>
      </w:r>
      <w:r>
        <w:rPr>
          <w:sz w:val="26"/>
          <w:szCs w:val="26"/>
          <w:lang w:val="es-ES" w:eastAsia="es-ES"/>
        </w:rPr>
        <w:t>orden de ideas deben verse los numerales 179, inciso d), y 180, inciso d), del Reglamento a la Ley de la Contratación Administrativa, relativos a la Inadmisibilidad y a la Improcedencia Manifiesta de los Recursos en la Materia de la Contratación Administra</w:t>
      </w:r>
      <w:r>
        <w:rPr>
          <w:sz w:val="26"/>
          <w:szCs w:val="26"/>
          <w:lang w:val="es-ES" w:eastAsia="es-ES"/>
        </w:rPr>
        <w:t>tiva.</w:t>
      </w:r>
    </w:p>
    <w:p w:rsidR="00000000" w:rsidRDefault="00F82AB1">
      <w:pPr>
        <w:kinsoku w:val="0"/>
        <w:overflowPunct w:val="0"/>
        <w:autoSpaceDE/>
        <w:autoSpaceDN/>
        <w:adjustRightInd/>
        <w:spacing w:before="450" w:after="350" w:line="344" w:lineRule="exact"/>
        <w:ind w:right="504"/>
        <w:jc w:val="both"/>
        <w:textAlignment w:val="baseline"/>
        <w:rPr>
          <w:sz w:val="26"/>
          <w:szCs w:val="26"/>
          <w:lang w:val="es-ES" w:eastAsia="es-ES"/>
        </w:rPr>
      </w:pPr>
      <w:r>
        <w:rPr>
          <w:sz w:val="26"/>
          <w:szCs w:val="26"/>
          <w:lang w:val="es-ES" w:eastAsia="es-ES"/>
        </w:rPr>
        <w:t>Del texto y espíritu de los Textos Jurídicos antes citados lo que se colige es que los Recursos en materia de Contratación Administrativa se DEBEN presentar de forma plena, íntegra y/o completa DESDE SU ORIGEN O INICIO. No determinándose como procede</w:t>
      </w:r>
      <w:r>
        <w:rPr>
          <w:sz w:val="26"/>
          <w:szCs w:val="26"/>
          <w:lang w:val="es-ES" w:eastAsia="es-ES"/>
        </w:rPr>
        <w:t>nte su AMPLIACIÓN en el ínterin de su conocimiento y/o resolución, como se ha dado en la especie. En tal orden de ideas la Contraloría General de la República bien ha dicho:</w:t>
      </w:r>
    </w:p>
    <w:tbl>
      <w:tblPr>
        <w:tblW w:w="0" w:type="auto"/>
        <w:tblLayout w:type="fixed"/>
        <w:tblCellMar>
          <w:left w:w="0" w:type="dxa"/>
          <w:right w:w="0" w:type="dxa"/>
        </w:tblCellMar>
        <w:tblLook w:val="0000"/>
      </w:tblPr>
      <w:tblGrid>
        <w:gridCol w:w="8676"/>
        <w:gridCol w:w="764"/>
      </w:tblGrid>
      <w:tr w:rsidR="00000000">
        <w:tblPrEx>
          <w:tblCellMar>
            <w:top w:w="0" w:type="dxa"/>
            <w:left w:w="0" w:type="dxa"/>
            <w:bottom w:w="0" w:type="dxa"/>
            <w:right w:w="0" w:type="dxa"/>
          </w:tblCellMar>
        </w:tblPrEx>
        <w:trPr>
          <w:trHeight w:hRule="exact" w:val="2322"/>
        </w:trPr>
        <w:tc>
          <w:tcPr>
            <w:tcW w:w="8676" w:type="dxa"/>
            <w:tcBorders>
              <w:top w:val="nil"/>
              <w:left w:val="nil"/>
              <w:bottom w:val="nil"/>
              <w:right w:val="nil"/>
            </w:tcBorders>
          </w:tcPr>
          <w:p w:rsidR="00000000" w:rsidRDefault="00F82AB1">
            <w:pPr>
              <w:kinsoku w:val="0"/>
              <w:overflowPunct w:val="0"/>
              <w:autoSpaceDE/>
              <w:autoSpaceDN/>
              <w:adjustRightInd/>
              <w:spacing w:line="296" w:lineRule="exact"/>
              <w:ind w:left="576"/>
              <w:textAlignment w:val="baseline"/>
              <w:rPr>
                <w:b/>
                <w:bCs/>
                <w:sz w:val="26"/>
                <w:szCs w:val="26"/>
                <w:lang w:val="es-ES" w:eastAsia="es-ES"/>
              </w:rPr>
            </w:pPr>
            <w:r>
              <w:rPr>
                <w:b/>
                <w:bCs/>
                <w:sz w:val="26"/>
                <w:szCs w:val="26"/>
                <w:lang w:val="es-ES" w:eastAsia="es-ES"/>
              </w:rPr>
              <w:t>Recurso de Apelación. Fundamentación</w:t>
            </w:r>
          </w:p>
          <w:p w:rsidR="00000000" w:rsidRDefault="00F82AB1" w:rsidP="00FF4A8D">
            <w:pPr>
              <w:kinsoku w:val="0"/>
              <w:overflowPunct w:val="0"/>
              <w:autoSpaceDE/>
              <w:autoSpaceDN/>
              <w:adjustRightInd/>
              <w:spacing w:before="284" w:after="519" w:line="304" w:lineRule="exact"/>
              <w:ind w:left="576"/>
              <w:jc w:val="both"/>
              <w:textAlignment w:val="baseline"/>
              <w:rPr>
                <w:i/>
                <w:iCs/>
                <w:spacing w:val="5"/>
                <w:sz w:val="23"/>
                <w:szCs w:val="23"/>
                <w:lang w:val="es-ES" w:eastAsia="es-ES"/>
              </w:rPr>
            </w:pPr>
            <w:r>
              <w:rPr>
                <w:spacing w:val="5"/>
                <w:sz w:val="26"/>
                <w:szCs w:val="26"/>
                <w:lang w:val="es-ES" w:eastAsia="es-ES"/>
              </w:rPr>
              <w:t xml:space="preserve">En ese mismo sentido el autor nacional Walter </w:t>
            </w:r>
            <w:proofErr w:type="spellStart"/>
            <w:r>
              <w:rPr>
                <w:spacing w:val="5"/>
                <w:sz w:val="26"/>
                <w:szCs w:val="26"/>
                <w:lang w:val="es-ES" w:eastAsia="es-ES"/>
              </w:rPr>
              <w:t>Antillón</w:t>
            </w:r>
            <w:proofErr w:type="spellEnd"/>
            <w:r>
              <w:rPr>
                <w:spacing w:val="5"/>
                <w:sz w:val="26"/>
                <w:szCs w:val="26"/>
                <w:lang w:val="es-ES" w:eastAsia="es-ES"/>
              </w:rPr>
              <w:t xml:space="preserve">, en su obra "Teoría de Proceso Jurisdiccional" </w:t>
            </w:r>
            <w:r>
              <w:rPr>
                <w:spacing w:val="5"/>
                <w:sz w:val="17"/>
                <w:szCs w:val="17"/>
                <w:lang w:val="es-ES" w:eastAsia="es-ES"/>
              </w:rPr>
              <w:t>(l</w:t>
            </w:r>
            <w:r>
              <w:rPr>
                <w:spacing w:val="5"/>
                <w:sz w:val="17"/>
                <w:szCs w:val="17"/>
                <w:vertAlign w:val="superscript"/>
                <w:lang w:val="es-ES" w:eastAsia="es-ES"/>
              </w:rPr>
              <w:t>a</w:t>
            </w:r>
            <w:r>
              <w:rPr>
                <w:spacing w:val="5"/>
                <w:sz w:val="26"/>
                <w:szCs w:val="26"/>
                <w:lang w:val="es-ES" w:eastAsia="es-ES"/>
              </w:rPr>
              <w:t xml:space="preserve"> edición, San José, Investigaciones Jurídicas S.A., enero 2001) hace alusión al orden y los principios que </w:t>
            </w:r>
            <w:r>
              <w:rPr>
                <w:i/>
                <w:iCs/>
                <w:spacing w:val="5"/>
                <w:sz w:val="23"/>
                <w:szCs w:val="23"/>
                <w:lang w:val="es-ES" w:eastAsia="es-ES"/>
              </w:rPr>
              <w:t xml:space="preserve">Res. </w:t>
            </w:r>
          </w:p>
        </w:tc>
        <w:tc>
          <w:tcPr>
            <w:tcW w:w="764" w:type="dxa"/>
            <w:tcBorders>
              <w:top w:val="nil"/>
              <w:left w:val="nil"/>
              <w:bottom w:val="nil"/>
              <w:right w:val="nil"/>
            </w:tcBorders>
          </w:tcPr>
          <w:p w:rsidR="00000000" w:rsidRDefault="00F82AB1">
            <w:pPr>
              <w:kinsoku w:val="0"/>
              <w:overflowPunct w:val="0"/>
              <w:autoSpaceDE/>
              <w:autoSpaceDN/>
              <w:adjustRightInd/>
              <w:spacing w:before="458" w:after="6"/>
              <w:ind w:right="40"/>
              <w:jc w:val="center"/>
              <w:textAlignment w:val="baseline"/>
              <w:rPr>
                <w:sz w:val="24"/>
                <w:szCs w:val="24"/>
              </w:rPr>
            </w:pPr>
          </w:p>
        </w:tc>
      </w:tr>
    </w:tbl>
    <w:p w:rsidR="00000000" w:rsidRDefault="00F82AB1">
      <w:pPr>
        <w:widowControl/>
        <w:rPr>
          <w:sz w:val="24"/>
          <w:szCs w:val="24"/>
        </w:rPr>
        <w:sectPr w:rsidR="00000000">
          <w:pgSz w:w="12240" w:h="15840"/>
          <w:pgMar w:top="1400" w:right="1194" w:bottom="404" w:left="1606" w:header="720" w:footer="720" w:gutter="0"/>
          <w:cols w:space="720"/>
          <w:noEndnote/>
        </w:sectPr>
      </w:pPr>
    </w:p>
    <w:p w:rsidR="00000000" w:rsidRDefault="00F82AB1">
      <w:pPr>
        <w:kinsoku w:val="0"/>
        <w:overflowPunct w:val="0"/>
        <w:autoSpaceDE/>
        <w:autoSpaceDN/>
        <w:adjustRightInd/>
        <w:spacing w:before="32" w:line="300" w:lineRule="exact"/>
        <w:jc w:val="both"/>
        <w:textAlignment w:val="baseline"/>
        <w:rPr>
          <w:b/>
          <w:bCs/>
          <w:spacing w:val="1"/>
          <w:sz w:val="26"/>
          <w:szCs w:val="26"/>
          <w:lang w:val="es-ES" w:eastAsia="es-ES"/>
        </w:rPr>
      </w:pPr>
      <w:proofErr w:type="gramStart"/>
      <w:r>
        <w:rPr>
          <w:spacing w:val="1"/>
          <w:sz w:val="26"/>
          <w:szCs w:val="26"/>
          <w:lang w:val="es-ES" w:eastAsia="es-ES"/>
        </w:rPr>
        <w:t>aplican</w:t>
      </w:r>
      <w:proofErr w:type="gramEnd"/>
      <w:r>
        <w:rPr>
          <w:spacing w:val="1"/>
          <w:sz w:val="26"/>
          <w:szCs w:val="26"/>
          <w:lang w:val="es-ES" w:eastAsia="es-ES"/>
        </w:rPr>
        <w:t xml:space="preserve"> a todo procedimiento —</w:t>
      </w:r>
      <w:r>
        <w:rPr>
          <w:spacing w:val="1"/>
          <w:sz w:val="26"/>
          <w:szCs w:val="26"/>
          <w:lang w:val="es-ES" w:eastAsia="es-ES"/>
        </w:rPr>
        <w:t xml:space="preserve">incluyendo el administrativo como este caso- en los siguientes términos: "... el proceso, al igual que los restantes procedimientos, es una "forma" de la experiencia jurídica. </w:t>
      </w:r>
      <w:r>
        <w:rPr>
          <w:b/>
          <w:bCs/>
          <w:spacing w:val="1"/>
          <w:sz w:val="26"/>
          <w:szCs w:val="26"/>
          <w:lang w:val="es-ES" w:eastAsia="es-ES"/>
        </w:rPr>
        <w:t xml:space="preserve">Esto significa que si bien el proceso es una actividad de la vida social, no es </w:t>
      </w:r>
      <w:r>
        <w:rPr>
          <w:b/>
          <w:bCs/>
          <w:spacing w:val="1"/>
          <w:sz w:val="26"/>
          <w:szCs w:val="26"/>
          <w:lang w:val="es-ES" w:eastAsia="es-ES"/>
        </w:rPr>
        <w:t xml:space="preserve">una actividad antojadiza, arbitraria, sino una actividad "en forma", es decir ordenada, según criterios legales que atañen a los sujetos, a los objetos, al orden lógico </w:t>
      </w:r>
      <w:r>
        <w:rPr>
          <w:spacing w:val="1"/>
          <w:sz w:val="26"/>
          <w:szCs w:val="26"/>
          <w:lang w:val="es-ES" w:eastAsia="es-ES"/>
        </w:rPr>
        <w:t xml:space="preserve">y </w:t>
      </w:r>
      <w:r>
        <w:rPr>
          <w:b/>
          <w:bCs/>
          <w:spacing w:val="1"/>
          <w:sz w:val="26"/>
          <w:szCs w:val="26"/>
          <w:lang w:val="es-ES" w:eastAsia="es-ES"/>
        </w:rPr>
        <w:t>cronológico de los actos, etc. ...Ademá</w:t>
      </w:r>
      <w:r>
        <w:rPr>
          <w:b/>
          <w:bCs/>
          <w:spacing w:val="1"/>
          <w:sz w:val="26"/>
          <w:szCs w:val="26"/>
          <w:lang w:val="es-ES" w:eastAsia="es-ES"/>
        </w:rPr>
        <w:t xml:space="preserve">s de los elementos formales que el proceso presenta en cuanto procedimiento </w:t>
      </w:r>
      <w:r>
        <w:rPr>
          <w:b/>
          <w:bCs/>
          <w:i/>
          <w:iCs/>
          <w:spacing w:val="1"/>
          <w:sz w:val="26"/>
          <w:szCs w:val="26"/>
          <w:lang w:val="es-ES" w:eastAsia="es-ES"/>
        </w:rPr>
        <w:t>(</w:t>
      </w:r>
      <w:proofErr w:type="spellStart"/>
      <w:r>
        <w:rPr>
          <w:b/>
          <w:bCs/>
          <w:i/>
          <w:iCs/>
          <w:spacing w:val="1"/>
          <w:sz w:val="26"/>
          <w:szCs w:val="26"/>
          <w:lang w:val="es-ES" w:eastAsia="es-ES"/>
        </w:rPr>
        <w:t>genus</w:t>
      </w:r>
      <w:proofErr w:type="spellEnd"/>
      <w:r>
        <w:rPr>
          <w:b/>
          <w:bCs/>
          <w:i/>
          <w:iCs/>
          <w:spacing w:val="1"/>
          <w:sz w:val="26"/>
          <w:szCs w:val="26"/>
          <w:lang w:val="es-ES" w:eastAsia="es-ES"/>
        </w:rPr>
        <w:t xml:space="preserve"> </w:t>
      </w:r>
      <w:proofErr w:type="spellStart"/>
      <w:r>
        <w:rPr>
          <w:b/>
          <w:bCs/>
          <w:i/>
          <w:iCs/>
          <w:spacing w:val="1"/>
          <w:sz w:val="26"/>
          <w:szCs w:val="26"/>
          <w:lang w:val="es-ES" w:eastAsia="es-ES"/>
        </w:rPr>
        <w:t>proximum</w:t>
      </w:r>
      <w:proofErr w:type="spellEnd"/>
      <w:r>
        <w:rPr>
          <w:b/>
          <w:bCs/>
          <w:i/>
          <w:iCs/>
          <w:spacing w:val="1"/>
          <w:sz w:val="26"/>
          <w:szCs w:val="26"/>
          <w:lang w:val="es-ES" w:eastAsia="es-ES"/>
        </w:rPr>
        <w:t xml:space="preserve">), </w:t>
      </w:r>
      <w:r>
        <w:rPr>
          <w:b/>
          <w:bCs/>
          <w:spacing w:val="1"/>
          <w:sz w:val="26"/>
          <w:szCs w:val="26"/>
          <w:lang w:val="es-ES" w:eastAsia="es-ES"/>
        </w:rPr>
        <w:t xml:space="preserve">también ofrece otros elementos que son propios de él: ...v) aporte argumental o probatorio de las partes como contenido necesario de la decisión del juez. ... </w:t>
      </w:r>
      <w:r>
        <w:rPr>
          <w:spacing w:val="1"/>
          <w:sz w:val="26"/>
          <w:szCs w:val="26"/>
          <w:lang w:val="es-ES" w:eastAsia="es-ES"/>
        </w:rPr>
        <w:t>Deb</w:t>
      </w:r>
      <w:r>
        <w:rPr>
          <w:spacing w:val="1"/>
          <w:sz w:val="26"/>
          <w:szCs w:val="26"/>
          <w:lang w:val="es-ES" w:eastAsia="es-ES"/>
        </w:rPr>
        <w:t>e el juez, al justificar o fundamentar su sentencia, referirse a los esfuerzos argumentales y probatorios desplegados por las partes..." Es decir, de acuerdo con el citado autor, criterio que comparte este Despacho, la adecuada fundamentación de una resolu</w:t>
      </w:r>
      <w:r>
        <w:rPr>
          <w:spacing w:val="1"/>
          <w:sz w:val="26"/>
          <w:szCs w:val="26"/>
          <w:lang w:val="es-ES" w:eastAsia="es-ES"/>
        </w:rPr>
        <w:t>ción contempla como presupuesto esencial el desarrollo de un elenco de "esfuerzos argumentales y probatorios", sin los cuales no podría garantizarse la adecuada anulación o confirmación de un determinado acto de adjudicación sometido a una revisión particu</w:t>
      </w:r>
      <w:r>
        <w:rPr>
          <w:spacing w:val="1"/>
          <w:sz w:val="26"/>
          <w:szCs w:val="26"/>
          <w:lang w:val="es-ES" w:eastAsia="es-ES"/>
        </w:rPr>
        <w:t>lar. Retomando el caso particular, el recurrente se limita a pedir que se revalore su experiencia, sin aportar un solo argumento o elemento probatorio que permita a este Despacho prever alguna posible actuación incorrecta del CONAVI al no valorarle la expe</w:t>
      </w:r>
      <w:r>
        <w:rPr>
          <w:spacing w:val="1"/>
          <w:sz w:val="26"/>
          <w:szCs w:val="26"/>
          <w:lang w:val="es-ES" w:eastAsia="es-ES"/>
        </w:rPr>
        <w:t>riencia que ahora echa de menos, de tal forma que ameritara un traslado a dicha Administración a efectos de que defienda su actuación. Si el apelante cree que el CONAVI actuó contrario a las disposiciones del cartel, entonces debió haber fundamentado su re</w:t>
      </w:r>
      <w:r>
        <w:rPr>
          <w:spacing w:val="1"/>
          <w:sz w:val="26"/>
          <w:szCs w:val="26"/>
          <w:lang w:val="es-ES" w:eastAsia="es-ES"/>
        </w:rPr>
        <w:t xml:space="preserve">curso, explicando las razones que lo hacen concluir que su experiencia sí es atinente, detallando la relación que existe entre las labores que desempeñó en la firma [...] y Asociados y el objeto contractual que nos ocupa para, de esa manera, solicitar una </w:t>
      </w:r>
      <w:r>
        <w:rPr>
          <w:spacing w:val="1"/>
          <w:sz w:val="26"/>
          <w:szCs w:val="26"/>
          <w:lang w:val="es-ES" w:eastAsia="es-ES"/>
        </w:rPr>
        <w:t>explicación al órgano licitante. Al carecer de ese sustento y únicamente pedir la revisión de su experiencia se estaría invirtiendo el principio de presunción de legalidad del acto administrativo, de tal forma que sería la Administración la obligada a "con</w:t>
      </w:r>
      <w:r>
        <w:rPr>
          <w:spacing w:val="1"/>
          <w:sz w:val="26"/>
          <w:szCs w:val="26"/>
          <w:lang w:val="es-ES" w:eastAsia="es-ES"/>
        </w:rPr>
        <w:t xml:space="preserve">struir" su defensa sobre una inexistente acusación concreta. </w:t>
      </w:r>
      <w:proofErr w:type="gramStart"/>
      <w:r>
        <w:rPr>
          <w:spacing w:val="1"/>
          <w:sz w:val="26"/>
          <w:szCs w:val="26"/>
          <w:lang w:val="es-ES" w:eastAsia="es-ES"/>
        </w:rPr>
        <w:t>y</w:t>
      </w:r>
      <w:proofErr w:type="gramEnd"/>
      <w:r>
        <w:rPr>
          <w:spacing w:val="1"/>
          <w:sz w:val="26"/>
          <w:szCs w:val="26"/>
          <w:lang w:val="es-ES" w:eastAsia="es-ES"/>
        </w:rPr>
        <w:t xml:space="preserve"> aún más grave, obligando a este Despacho a resolver únicamente con sustento en el "esfuerzo argumental y probatorio" de una de las partes. Así las cosas, al no indicarse las razones por las cua</w:t>
      </w:r>
      <w:r>
        <w:rPr>
          <w:spacing w:val="1"/>
          <w:sz w:val="26"/>
          <w:szCs w:val="26"/>
          <w:lang w:val="es-ES" w:eastAsia="es-ES"/>
        </w:rPr>
        <w:t xml:space="preserve">les considera que su experiencia es válida, se tiene por carente de fundamentación el recurso estudiado y por lo tanto se impone su rechazo de plano. </w:t>
      </w:r>
      <w:r>
        <w:rPr>
          <w:b/>
          <w:bCs/>
          <w:spacing w:val="1"/>
          <w:sz w:val="26"/>
          <w:szCs w:val="26"/>
          <w:u w:val="single"/>
          <w:lang w:val="es-ES" w:eastAsia="es-ES"/>
        </w:rPr>
        <w:t>RC-360-2002</w:t>
      </w:r>
      <w:r w:rsidR="00FF4A8D">
        <w:rPr>
          <w:b/>
          <w:bCs/>
          <w:spacing w:val="1"/>
          <w:sz w:val="26"/>
          <w:szCs w:val="26"/>
          <w:lang w:val="es-ES" w:eastAsia="es-ES"/>
        </w:rPr>
        <w:t xml:space="preserve"> de 12:00 horas del 7 de</w:t>
      </w:r>
      <w:r>
        <w:rPr>
          <w:b/>
          <w:bCs/>
          <w:spacing w:val="1"/>
          <w:sz w:val="26"/>
          <w:szCs w:val="26"/>
          <w:lang w:val="es-ES" w:eastAsia="es-ES"/>
        </w:rPr>
        <w:t xml:space="preserve"> Junio de 2002.</w:t>
      </w:r>
    </w:p>
    <w:p w:rsidR="00000000" w:rsidRDefault="00F82AB1">
      <w:pPr>
        <w:widowControl/>
        <w:rPr>
          <w:sz w:val="24"/>
          <w:szCs w:val="24"/>
        </w:rPr>
        <w:sectPr w:rsidR="00000000">
          <w:pgSz w:w="12240" w:h="15840"/>
          <w:pgMar w:top="1460" w:right="2263" w:bottom="1250" w:left="2237" w:header="720" w:footer="720" w:gutter="0"/>
          <w:cols w:space="720"/>
          <w:noEndnote/>
        </w:sectPr>
      </w:pPr>
    </w:p>
    <w:p w:rsidR="00FF4A8D" w:rsidRDefault="00FF4A8D">
      <w:pPr>
        <w:tabs>
          <w:tab w:val="right" w:pos="7776"/>
        </w:tabs>
        <w:kinsoku w:val="0"/>
        <w:overflowPunct w:val="0"/>
        <w:autoSpaceDE/>
        <w:autoSpaceDN/>
        <w:adjustRightInd/>
        <w:spacing w:line="383" w:lineRule="exact"/>
        <w:textAlignment w:val="baseline"/>
        <w:rPr>
          <w:sz w:val="26"/>
          <w:szCs w:val="26"/>
          <w:lang w:val="es-ES" w:eastAsia="es-ES"/>
        </w:rPr>
      </w:pPr>
    </w:p>
    <w:p w:rsidR="00FF4A8D" w:rsidRDefault="00FF4A8D">
      <w:pPr>
        <w:tabs>
          <w:tab w:val="right" w:pos="7776"/>
        </w:tabs>
        <w:kinsoku w:val="0"/>
        <w:overflowPunct w:val="0"/>
        <w:autoSpaceDE/>
        <w:autoSpaceDN/>
        <w:adjustRightInd/>
        <w:spacing w:line="383" w:lineRule="exact"/>
        <w:textAlignment w:val="baseline"/>
        <w:rPr>
          <w:sz w:val="26"/>
          <w:szCs w:val="26"/>
          <w:lang w:val="es-ES" w:eastAsia="es-ES"/>
        </w:rPr>
      </w:pPr>
    </w:p>
    <w:p w:rsidR="00FF4A8D" w:rsidRPr="005F2500" w:rsidRDefault="005F2500" w:rsidP="003A05BF">
      <w:pPr>
        <w:pBdr>
          <w:top w:val="single" w:sz="4" w:space="1" w:color="auto"/>
          <w:left w:val="single" w:sz="4" w:space="4" w:color="auto"/>
          <w:bottom w:val="single" w:sz="4" w:space="1" w:color="auto"/>
          <w:right w:val="single" w:sz="4" w:space="4" w:color="auto"/>
        </w:pBdr>
        <w:tabs>
          <w:tab w:val="right" w:pos="7776"/>
        </w:tabs>
        <w:kinsoku w:val="0"/>
        <w:overflowPunct w:val="0"/>
        <w:autoSpaceDE/>
        <w:autoSpaceDN/>
        <w:adjustRightInd/>
        <w:spacing w:line="383" w:lineRule="exact"/>
        <w:jc w:val="both"/>
        <w:textAlignment w:val="baseline"/>
        <w:rPr>
          <w:b/>
          <w:sz w:val="26"/>
          <w:szCs w:val="26"/>
          <w:lang w:val="es-ES" w:eastAsia="es-ES"/>
        </w:rPr>
      </w:pPr>
      <w:r w:rsidRPr="005F2500">
        <w:rPr>
          <w:b/>
          <w:sz w:val="26"/>
          <w:szCs w:val="26"/>
          <w:lang w:val="es-ES" w:eastAsia="es-ES"/>
        </w:rPr>
        <w:t>Recurso de Apelación. Todos los alegatos deben hacerse en el recurso.</w:t>
      </w:r>
    </w:p>
    <w:p w:rsidR="005F2500" w:rsidRDefault="005F2500" w:rsidP="003A05BF">
      <w:pPr>
        <w:pBdr>
          <w:top w:val="single" w:sz="4" w:space="1" w:color="auto"/>
          <w:left w:val="single" w:sz="4" w:space="4" w:color="auto"/>
          <w:bottom w:val="single" w:sz="4" w:space="1" w:color="auto"/>
          <w:right w:val="single" w:sz="4" w:space="4" w:color="auto"/>
        </w:pBdr>
        <w:tabs>
          <w:tab w:val="right" w:pos="7776"/>
        </w:tabs>
        <w:kinsoku w:val="0"/>
        <w:overflowPunct w:val="0"/>
        <w:autoSpaceDE/>
        <w:autoSpaceDN/>
        <w:adjustRightInd/>
        <w:spacing w:line="383" w:lineRule="exact"/>
        <w:textAlignment w:val="baseline"/>
        <w:rPr>
          <w:sz w:val="26"/>
          <w:szCs w:val="26"/>
          <w:lang w:val="es-ES" w:eastAsia="es-ES"/>
        </w:rPr>
      </w:pPr>
    </w:p>
    <w:p w:rsidR="005F2500" w:rsidRPr="003A05BF" w:rsidRDefault="005F2500" w:rsidP="003A05BF">
      <w:pPr>
        <w:pBdr>
          <w:top w:val="single" w:sz="4" w:space="1" w:color="auto"/>
          <w:left w:val="single" w:sz="4" w:space="4" w:color="auto"/>
          <w:bottom w:val="single" w:sz="4" w:space="1" w:color="auto"/>
          <w:right w:val="single" w:sz="4" w:space="4" w:color="auto"/>
        </w:pBdr>
        <w:tabs>
          <w:tab w:val="right" w:pos="7776"/>
        </w:tabs>
        <w:kinsoku w:val="0"/>
        <w:overflowPunct w:val="0"/>
        <w:autoSpaceDE/>
        <w:autoSpaceDN/>
        <w:adjustRightInd/>
        <w:spacing w:line="383" w:lineRule="exact"/>
        <w:jc w:val="both"/>
        <w:textAlignment w:val="baseline"/>
        <w:rPr>
          <w:b/>
          <w:sz w:val="26"/>
          <w:szCs w:val="26"/>
          <w:lang w:val="es-ES" w:eastAsia="es-ES"/>
        </w:rPr>
      </w:pPr>
      <w:r w:rsidRPr="005F2500">
        <w:rPr>
          <w:sz w:val="26"/>
          <w:szCs w:val="26"/>
          <w:lang w:val="es-ES" w:eastAsia="es-ES"/>
        </w:rPr>
        <w:t xml:space="preserve">En el caso bajo examen,  la demostración de que la apelante ECOHSA  podría estar mejor posicionada que las elegidas y por ende, que propuso mejores precios que las adjudicatarias, </w:t>
      </w:r>
      <w:r w:rsidRPr="005F2500">
        <w:rPr>
          <w:b/>
          <w:sz w:val="26"/>
          <w:szCs w:val="26"/>
          <w:u w:val="single"/>
          <w:lang w:val="es-ES" w:eastAsia="es-ES"/>
        </w:rPr>
        <w:t>debió de hacerse al interponer el recurso, de acuerdo con el principio procesal que obliga a hacer valer en el mismo recurso, todos los reparos y alegaciones que quepan en contra el acto final, con el objeto de que tanto la Administración como las adjudicatarias pudieran referirse en forma concreta a ese alegado mejor derecho que se reclama, pues de lo contrario, se violaría el principio de preclusión procesal y el del debido proceso que demandan conocer, en un solo estadio procesal, de todos los reparos conocidos contra el acto final y probarlos</w:t>
      </w:r>
      <w:r w:rsidRPr="005F2500">
        <w:rPr>
          <w:sz w:val="26"/>
          <w:szCs w:val="26"/>
          <w:lang w:val="es-ES" w:eastAsia="es-ES"/>
        </w:rPr>
        <w:t>.    Por ende,  la alegación o alegaciones de un recurso deben estar fundadas desde su interposición, tanto como el caso concreto lo permita.  No basta con exponer el reparo sino que quien lo formule debe también aportar o al menos ofrecer prueba idónea para demostrar,  por ejemplo para el caso que nos ocupa,  cómo se afectaron los derechos e intereses del apelante  (la lesión), por no haberse hecho la comparación de ofertas tomando en cuenta el régimen preferencial que dicen les debió  ser aplicado.  La parte apelante no señala y menos demuestra que, de serles aplicado el beneficio a que aluden, su  “oferta” sería la mejor calificada de acuerdo con el sistema previsto,  de modo que no existe forma de que la Administración, en sentido concreto, haya podido verificar el argumento que se expone de una mejor puntuación debida a un mejor precio y, en general, de una posible mejor calificación que hiciera a la apelante sujeto legitimado para ganar las fórmulas que reclama</w:t>
      </w:r>
      <w:r w:rsidR="00F82AB1" w:rsidRPr="003A05BF">
        <w:rPr>
          <w:b/>
          <w:sz w:val="26"/>
          <w:szCs w:val="26"/>
          <w:lang w:val="es-ES" w:eastAsia="es-ES"/>
        </w:rPr>
        <w:t>:"RSL</w:t>
      </w:r>
      <w:r w:rsidRPr="003A05BF">
        <w:rPr>
          <w:b/>
          <w:sz w:val="26"/>
          <w:szCs w:val="26"/>
          <w:lang w:val="es-ES" w:eastAsia="es-ES"/>
        </w:rPr>
        <w:t xml:space="preserve"> </w:t>
      </w:r>
      <w:r w:rsidRPr="003A05BF">
        <w:rPr>
          <w:b/>
          <w:sz w:val="29"/>
          <w:szCs w:val="29"/>
          <w:u w:val="single"/>
          <w:lang w:val="es-ES" w:eastAsia="es-ES"/>
        </w:rPr>
        <w:t>323-</w:t>
      </w:r>
      <w:r w:rsidR="00F82AB1" w:rsidRPr="003A05BF">
        <w:rPr>
          <w:b/>
          <w:sz w:val="29"/>
          <w:szCs w:val="29"/>
          <w:u w:val="single"/>
          <w:lang w:val="es-ES" w:eastAsia="es-ES"/>
        </w:rPr>
        <w:t xml:space="preserve">99 </w:t>
      </w:r>
      <w:r w:rsidR="00F82AB1" w:rsidRPr="003A05BF">
        <w:rPr>
          <w:b/>
          <w:sz w:val="26"/>
          <w:szCs w:val="26"/>
          <w:lang w:val="es-ES" w:eastAsia="es-ES"/>
        </w:rPr>
        <w:t xml:space="preserve">de </w:t>
      </w:r>
      <w:r w:rsidRPr="003A05BF">
        <w:rPr>
          <w:b/>
          <w:sz w:val="26"/>
          <w:szCs w:val="26"/>
          <w:lang w:val="es-ES" w:eastAsia="es-ES"/>
        </w:rPr>
        <w:t>l</w:t>
      </w:r>
      <w:r w:rsidR="00F82AB1" w:rsidRPr="003A05BF">
        <w:rPr>
          <w:b/>
          <w:sz w:val="26"/>
          <w:szCs w:val="26"/>
          <w:lang w:val="es-ES" w:eastAsia="es-ES"/>
        </w:rPr>
        <w:t>as 15</w:t>
      </w:r>
      <w:r w:rsidRPr="003A05BF">
        <w:rPr>
          <w:b/>
          <w:sz w:val="26"/>
          <w:szCs w:val="26"/>
          <w:lang w:val="es-ES" w:eastAsia="es-ES"/>
        </w:rPr>
        <w:t>:</w:t>
      </w:r>
      <w:r w:rsidR="00F82AB1" w:rsidRPr="003A05BF">
        <w:rPr>
          <w:b/>
          <w:sz w:val="26"/>
          <w:szCs w:val="26"/>
          <w:lang w:val="es-ES" w:eastAsia="es-ES"/>
        </w:rPr>
        <w:t>00 horas del 3 de agosto de 1999</w:t>
      </w:r>
    </w:p>
    <w:p w:rsidR="005F2500" w:rsidRDefault="005F2500" w:rsidP="005F2500">
      <w:pPr>
        <w:tabs>
          <w:tab w:val="right" w:pos="7776"/>
        </w:tabs>
        <w:kinsoku w:val="0"/>
        <w:overflowPunct w:val="0"/>
        <w:autoSpaceDE/>
        <w:autoSpaceDN/>
        <w:adjustRightInd/>
        <w:spacing w:line="383" w:lineRule="exact"/>
        <w:jc w:val="both"/>
        <w:textAlignment w:val="baseline"/>
        <w:rPr>
          <w:sz w:val="26"/>
          <w:szCs w:val="26"/>
          <w:lang w:val="es-ES" w:eastAsia="es-ES"/>
        </w:rPr>
      </w:pPr>
    </w:p>
    <w:p w:rsidR="00000000" w:rsidRDefault="00F82AB1" w:rsidP="005F2500">
      <w:pPr>
        <w:tabs>
          <w:tab w:val="right" w:pos="7776"/>
        </w:tabs>
        <w:kinsoku w:val="0"/>
        <w:overflowPunct w:val="0"/>
        <w:autoSpaceDE/>
        <w:autoSpaceDN/>
        <w:adjustRightInd/>
        <w:spacing w:line="383" w:lineRule="exact"/>
        <w:jc w:val="both"/>
        <w:textAlignment w:val="baseline"/>
        <w:rPr>
          <w:sz w:val="26"/>
          <w:szCs w:val="26"/>
          <w:lang w:val="es-ES" w:eastAsia="es-ES"/>
        </w:rPr>
      </w:pPr>
      <w:r>
        <w:rPr>
          <w:sz w:val="26"/>
          <w:szCs w:val="26"/>
          <w:lang w:val="es-ES" w:eastAsia="es-ES"/>
        </w:rPr>
        <w:t>..."Sobre la importa</w:t>
      </w:r>
      <w:r>
        <w:rPr>
          <w:sz w:val="26"/>
          <w:szCs w:val="26"/>
          <w:lang w:val="es-ES" w:eastAsia="es-ES"/>
        </w:rPr>
        <w:t>ncia de una adecuada fundamentación este órgano contralor en la resolución R-DCA-334-2007 de las nueve horas del catorce de agosto dos mil siete, señaló: "Sobre este tema de eminente carácter procesal señala Falcón que: "...la carga de la prueba es el impe</w:t>
      </w:r>
      <w:r>
        <w:rPr>
          <w:sz w:val="26"/>
          <w:szCs w:val="26"/>
          <w:lang w:val="es-ES" w:eastAsia="es-ES"/>
        </w:rPr>
        <w:t>rativo, o el peso que tienen las partes de recolectar las fuentes de prueba y actividad adecuadamente para que demuestren los hechos que le corresponda probar a través de los medios probatorios y sirve al juez en los procesos dispositivos como elemento que</w:t>
      </w:r>
      <w:r>
        <w:rPr>
          <w:sz w:val="26"/>
          <w:szCs w:val="26"/>
          <w:lang w:val="es-ES" w:eastAsia="es-ES"/>
        </w:rPr>
        <w:t xml:space="preserve"> forma su convicción ante la prueba insuficiente, incierta o faltante" (Falcón, Enrique, Tratado de la</w:t>
      </w:r>
    </w:p>
    <w:p w:rsidR="00000000" w:rsidRDefault="00F82AB1">
      <w:pPr>
        <w:widowControl/>
        <w:rPr>
          <w:sz w:val="24"/>
          <w:szCs w:val="24"/>
        </w:rPr>
        <w:sectPr w:rsidR="00000000" w:rsidSect="003A05BF">
          <w:type w:val="continuous"/>
          <w:pgSz w:w="12240" w:h="15840"/>
          <w:pgMar w:top="709" w:right="2309" w:bottom="304" w:left="2131" w:header="720" w:footer="720" w:gutter="0"/>
          <w:cols w:space="720"/>
          <w:noEndnote/>
        </w:sectPr>
      </w:pPr>
    </w:p>
    <w:p w:rsidR="00000000" w:rsidRDefault="00F82AB1">
      <w:pPr>
        <w:kinsoku w:val="0"/>
        <w:overflowPunct w:val="0"/>
        <w:autoSpaceDE/>
        <w:autoSpaceDN/>
        <w:adjustRightInd/>
        <w:spacing w:before="41" w:after="893" w:line="298" w:lineRule="exact"/>
        <w:jc w:val="both"/>
        <w:textAlignment w:val="baseline"/>
        <w:rPr>
          <w:b/>
          <w:bCs/>
          <w:i/>
          <w:iCs/>
          <w:spacing w:val="2"/>
          <w:sz w:val="26"/>
          <w:szCs w:val="26"/>
          <w:lang w:val="es-ES" w:eastAsia="es-ES"/>
        </w:rPr>
      </w:pPr>
      <w:r>
        <w:rPr>
          <w:spacing w:val="2"/>
          <w:sz w:val="26"/>
          <w:szCs w:val="26"/>
          <w:lang w:val="es-ES" w:eastAsia="es-ES"/>
        </w:rPr>
        <w:t xml:space="preserve">Prueba, Buenos Aires, </w:t>
      </w:r>
      <w:proofErr w:type="spellStart"/>
      <w:r>
        <w:rPr>
          <w:spacing w:val="2"/>
          <w:sz w:val="26"/>
          <w:szCs w:val="26"/>
          <w:lang w:val="es-ES" w:eastAsia="es-ES"/>
        </w:rPr>
        <w:t>Astrea</w:t>
      </w:r>
      <w:proofErr w:type="spellEnd"/>
      <w:r>
        <w:rPr>
          <w:spacing w:val="2"/>
          <w:sz w:val="26"/>
          <w:szCs w:val="26"/>
          <w:lang w:val="es-ES" w:eastAsia="es-ES"/>
        </w:rPr>
        <w:t>, 2003, To</w:t>
      </w:r>
      <w:r>
        <w:rPr>
          <w:spacing w:val="2"/>
          <w:sz w:val="26"/>
          <w:szCs w:val="26"/>
          <w:lang w:val="es-ES" w:eastAsia="es-ES"/>
        </w:rPr>
        <w:t>mo I, p.247)</w:t>
      </w:r>
      <w:proofErr w:type="gramStart"/>
      <w:r>
        <w:rPr>
          <w:spacing w:val="2"/>
          <w:sz w:val="26"/>
          <w:szCs w:val="26"/>
          <w:lang w:val="es-ES" w:eastAsia="es-ES"/>
        </w:rPr>
        <w:t>..</w:t>
      </w:r>
      <w:proofErr w:type="gramEnd"/>
      <w:r>
        <w:rPr>
          <w:spacing w:val="2"/>
          <w:sz w:val="26"/>
          <w:szCs w:val="26"/>
          <w:lang w:val="es-ES" w:eastAsia="es-ES"/>
        </w:rPr>
        <w:t xml:space="preserve"> De esa forma, no basta la construcción de la legitimación para el ejercicio recursivo, sino que —en lo pertinente- todos los alegatos deben contar con la respectiva fundamentación, sea en prueba visible en el expediente administrativo; o bie</w:t>
      </w:r>
      <w:r>
        <w:rPr>
          <w:spacing w:val="2"/>
          <w:sz w:val="26"/>
          <w:szCs w:val="26"/>
          <w:lang w:val="es-ES" w:eastAsia="es-ES"/>
        </w:rPr>
        <w:t xml:space="preserve">n, aportando criterios técnicos en contra de las valoraciones técnicas de la Administración o simplemente demostrando técnicamente los argumentos de índole técnica que se expongan en el recurso. Desde luego, la prueba aportada debe resultar también idónea </w:t>
      </w:r>
      <w:r>
        <w:rPr>
          <w:spacing w:val="2"/>
          <w:sz w:val="26"/>
          <w:szCs w:val="26"/>
          <w:lang w:val="es-ES" w:eastAsia="es-ES"/>
        </w:rPr>
        <w:t>para demostrar los alegatos, de tal suerte que no basta con traer pruebas a conocimiento de la Contraloría General con la interposición del recurso, sino que necesariamente la prueba debe contar con los elementos mínimos para desvirtuar un criterio, o bien</w:t>
      </w:r>
      <w:r>
        <w:rPr>
          <w:spacing w:val="2"/>
          <w:sz w:val="26"/>
          <w:szCs w:val="26"/>
          <w:lang w:val="es-ES" w:eastAsia="es-ES"/>
        </w:rPr>
        <w:t xml:space="preserve">, para apoyar una determinada afirmación."... </w:t>
      </w:r>
      <w:r>
        <w:rPr>
          <w:b/>
          <w:bCs/>
          <w:i/>
          <w:iCs/>
          <w:spacing w:val="2"/>
          <w:sz w:val="26"/>
          <w:szCs w:val="26"/>
          <w:lang w:val="es-ES" w:eastAsia="es-ES"/>
        </w:rPr>
        <w:t>(Resolución No. R-DCA-207-2011, de las nueve horas del tres de mayo de dos mil once)</w:t>
      </w:r>
    </w:p>
    <w:p w:rsidR="00000000" w:rsidRDefault="00F82AB1">
      <w:pPr>
        <w:kinsoku w:val="0"/>
        <w:overflowPunct w:val="0"/>
        <w:autoSpaceDE/>
        <w:autoSpaceDN/>
        <w:adjustRightInd/>
        <w:spacing w:before="94" w:line="298" w:lineRule="exact"/>
        <w:jc w:val="both"/>
        <w:textAlignment w:val="baseline"/>
        <w:rPr>
          <w:i/>
          <w:iCs/>
          <w:spacing w:val="1"/>
          <w:sz w:val="26"/>
          <w:szCs w:val="26"/>
          <w:lang w:val="es-ES" w:eastAsia="es-ES"/>
        </w:rPr>
      </w:pPr>
      <w:r>
        <w:rPr>
          <w:spacing w:val="1"/>
          <w:sz w:val="26"/>
          <w:szCs w:val="26"/>
          <w:lang w:val="es-ES" w:eastAsia="es-ES"/>
        </w:rPr>
        <w:t xml:space="preserve">..."Sobre el tema de la fundamentación, esta Contraloría General, en resolución R-DCA-471- 2007 del 19 </w:t>
      </w:r>
      <w:r>
        <w:rPr>
          <w:spacing w:val="1"/>
          <w:sz w:val="26"/>
          <w:szCs w:val="26"/>
          <w:lang w:val="es-ES" w:eastAsia="es-ES"/>
        </w:rPr>
        <w:t xml:space="preserve">de octubre del 2007, en lo que interesa, ha señalado: </w:t>
      </w:r>
      <w:r>
        <w:rPr>
          <w:b/>
          <w:bCs/>
          <w:i/>
          <w:iCs/>
          <w:spacing w:val="1"/>
          <w:sz w:val="26"/>
          <w:szCs w:val="26"/>
          <w:lang w:val="es-ES" w:eastAsia="es-ES"/>
        </w:rPr>
        <w:t xml:space="preserve">"Falta de fundamentación: </w:t>
      </w:r>
      <w:r>
        <w:rPr>
          <w:i/>
          <w:iCs/>
          <w:spacing w:val="1"/>
          <w:sz w:val="26"/>
          <w:szCs w:val="26"/>
          <w:lang w:val="es-ES" w:eastAsia="es-ES"/>
        </w:rPr>
        <w:t>El mismo artículo 180 del Reglamento de Contratación Administrativa señala como improcedente en forma manifiesta aquel recurso que no se presente con la fundamentación requerid</w:t>
      </w:r>
      <w:r>
        <w:rPr>
          <w:i/>
          <w:iCs/>
          <w:spacing w:val="1"/>
          <w:sz w:val="26"/>
          <w:szCs w:val="26"/>
          <w:lang w:val="es-ES" w:eastAsia="es-ES"/>
        </w:rPr>
        <w:t xml:space="preserve">a por el artículo 88 de la Ley de Contratación Administrativa". </w:t>
      </w:r>
      <w:r>
        <w:rPr>
          <w:spacing w:val="1"/>
          <w:sz w:val="26"/>
          <w:szCs w:val="26"/>
          <w:lang w:val="es-ES" w:eastAsia="es-ES"/>
        </w:rPr>
        <w:t>En relación con la prueba presentada en este alegato, no puede pretender la empresa apelante que esta Contraloría General, construya la misma en meros criterios especulativos, de donde no se d</w:t>
      </w:r>
      <w:r>
        <w:rPr>
          <w:spacing w:val="1"/>
          <w:sz w:val="26"/>
          <w:szCs w:val="26"/>
          <w:lang w:val="es-ES" w:eastAsia="es-ES"/>
        </w:rPr>
        <w:t>esprende fehacientemente la fundamentación debida contra los alegatos esgrimidos, que pretenden excluir la oferta de la adjudicataria. Sobre este punto, complementariamente, conviene citar lo indicado por este órgano contralor en la resolución R-DCA-439-20</w:t>
      </w:r>
      <w:r>
        <w:rPr>
          <w:spacing w:val="1"/>
          <w:sz w:val="26"/>
          <w:szCs w:val="26"/>
          <w:lang w:val="es-ES" w:eastAsia="es-ES"/>
        </w:rPr>
        <w:t xml:space="preserve">07 de las 10:00 horas del 5 de octubre de 2007, donde se expuso: </w:t>
      </w:r>
      <w:r w:rsidR="003A05BF">
        <w:rPr>
          <w:spacing w:val="1"/>
          <w:sz w:val="26"/>
          <w:szCs w:val="26"/>
          <w:lang w:val="es-ES" w:eastAsia="es-ES"/>
        </w:rPr>
        <w:t>[.</w:t>
      </w:r>
      <w:r>
        <w:rPr>
          <w:spacing w:val="1"/>
          <w:sz w:val="26"/>
          <w:szCs w:val="26"/>
          <w:lang w:val="es-ES" w:eastAsia="es-ES"/>
        </w:rPr>
        <w:t>..</w:t>
      </w:r>
      <w:r w:rsidR="003A05BF">
        <w:rPr>
          <w:spacing w:val="1"/>
          <w:sz w:val="26"/>
          <w:szCs w:val="26"/>
          <w:lang w:val="es-ES" w:eastAsia="es-ES"/>
        </w:rPr>
        <w:t>]</w:t>
      </w:r>
      <w:r>
        <w:rPr>
          <w:spacing w:val="1"/>
          <w:sz w:val="26"/>
          <w:szCs w:val="26"/>
          <w:lang w:val="es-ES" w:eastAsia="es-ES"/>
        </w:rPr>
        <w:t xml:space="preserve"> </w:t>
      </w:r>
      <w:r>
        <w:rPr>
          <w:i/>
          <w:iCs/>
          <w:spacing w:val="1"/>
          <w:sz w:val="26"/>
          <w:szCs w:val="26"/>
          <w:lang w:val="es-ES" w:eastAsia="es-ES"/>
        </w:rPr>
        <w:t>no siendo obligación de esta Contraloría interpretar información y resolver a partir de supuestos que en principio debían ser claramente explicados por la apelante. Respecto a este punto</w:t>
      </w:r>
      <w:r>
        <w:rPr>
          <w:i/>
          <w:iCs/>
          <w:spacing w:val="1"/>
          <w:sz w:val="26"/>
          <w:szCs w:val="26"/>
          <w:lang w:val="es-ES" w:eastAsia="es-ES"/>
        </w:rPr>
        <w:t xml:space="preserve"> de las condiciones de las pruebas, cabe retomar lo señalado por parte del Tribunal Primero Civil, Sección Segunda en resolución de las siete horas cincuenta minutos del veinte de enero del año dos mil cuatro: "Lo anterior implica que no basta con alegar u</w:t>
      </w:r>
      <w:r>
        <w:rPr>
          <w:i/>
          <w:iCs/>
          <w:spacing w:val="1"/>
          <w:sz w:val="26"/>
          <w:szCs w:val="26"/>
          <w:lang w:val="es-ES" w:eastAsia="es-ES"/>
        </w:rPr>
        <w:t xml:space="preserve">na serie de hechos, sino, deben ser </w:t>
      </w:r>
      <w:r>
        <w:rPr>
          <w:b/>
          <w:bCs/>
          <w:i/>
          <w:iCs/>
          <w:spacing w:val="1"/>
          <w:sz w:val="26"/>
          <w:szCs w:val="26"/>
          <w:lang w:val="es-ES" w:eastAsia="es-ES"/>
        </w:rPr>
        <w:t xml:space="preserve">demostrados en forma clara, precisa y concordante a lo reclamado, </w:t>
      </w:r>
      <w:r>
        <w:rPr>
          <w:i/>
          <w:iCs/>
          <w:spacing w:val="1"/>
          <w:sz w:val="26"/>
          <w:szCs w:val="26"/>
          <w:lang w:val="es-ES" w:eastAsia="es-ES"/>
        </w:rPr>
        <w:t>para que puedan ser acogidas jurídicamente las pretensiones de las partes. Para el juez, la prueba será aquello que demuestra lo que en verdad sucedió, es</w:t>
      </w:r>
      <w:r>
        <w:rPr>
          <w:i/>
          <w:iCs/>
          <w:spacing w:val="1"/>
          <w:sz w:val="26"/>
          <w:szCs w:val="26"/>
          <w:lang w:val="es-ES" w:eastAsia="es-ES"/>
        </w:rPr>
        <w:t xml:space="preserve"> la búsqueda de la verdad de los hechos para así darles la calificación jurídica". (El</w:t>
      </w:r>
    </w:p>
    <w:p w:rsidR="00000000" w:rsidRDefault="00F82AB1">
      <w:pPr>
        <w:widowControl/>
        <w:rPr>
          <w:sz w:val="24"/>
          <w:szCs w:val="24"/>
        </w:rPr>
        <w:sectPr w:rsidR="00000000">
          <w:pgSz w:w="12240" w:h="15840"/>
          <w:pgMar w:top="1460" w:right="2318" w:bottom="284" w:left="2122" w:header="720" w:footer="720" w:gutter="0"/>
          <w:cols w:space="720"/>
          <w:noEndnote/>
        </w:sectPr>
      </w:pPr>
    </w:p>
    <w:p w:rsidR="00000000" w:rsidRDefault="00F82AB1">
      <w:pPr>
        <w:kinsoku w:val="0"/>
        <w:overflowPunct w:val="0"/>
        <w:autoSpaceDE/>
        <w:autoSpaceDN/>
        <w:adjustRightInd/>
        <w:spacing w:before="25" w:line="299" w:lineRule="exact"/>
        <w:ind w:left="648" w:right="648"/>
        <w:jc w:val="both"/>
        <w:textAlignment w:val="baseline"/>
        <w:rPr>
          <w:b/>
          <w:bCs/>
          <w:i/>
          <w:iCs/>
          <w:spacing w:val="2"/>
          <w:sz w:val="26"/>
          <w:szCs w:val="26"/>
          <w:lang w:val="es-ES" w:eastAsia="es-ES"/>
        </w:rPr>
      </w:pPr>
      <w:proofErr w:type="gramStart"/>
      <w:r>
        <w:rPr>
          <w:i/>
          <w:iCs/>
          <w:spacing w:val="2"/>
          <w:sz w:val="26"/>
          <w:szCs w:val="26"/>
          <w:lang w:val="es-ES" w:eastAsia="es-ES"/>
        </w:rPr>
        <w:t>destacado</w:t>
      </w:r>
      <w:proofErr w:type="gramEnd"/>
      <w:r>
        <w:rPr>
          <w:i/>
          <w:iCs/>
          <w:spacing w:val="2"/>
          <w:sz w:val="26"/>
          <w:szCs w:val="26"/>
          <w:lang w:val="es-ES" w:eastAsia="es-ES"/>
        </w:rPr>
        <w:t xml:space="preserve"> no es del original)". </w:t>
      </w:r>
      <w:r>
        <w:rPr>
          <w:spacing w:val="2"/>
          <w:sz w:val="26"/>
          <w:szCs w:val="26"/>
          <w:lang w:val="es-ES" w:eastAsia="es-ES"/>
        </w:rPr>
        <w:t>Por otro lado, y a mayor abundamiento, la apelante tenía la posibilidad de alegar en relación con el sistema de evaluació</w:t>
      </w:r>
      <w:r>
        <w:rPr>
          <w:spacing w:val="2"/>
          <w:sz w:val="26"/>
          <w:szCs w:val="26"/>
          <w:lang w:val="es-ES" w:eastAsia="es-ES"/>
        </w:rPr>
        <w:t xml:space="preserve">n, la forma de procurar una demostración de mejor derecho en relación con la adjudicataria, lo cual no hizo"... </w:t>
      </w:r>
      <w:r>
        <w:rPr>
          <w:b/>
          <w:bCs/>
          <w:i/>
          <w:iCs/>
          <w:spacing w:val="2"/>
          <w:sz w:val="26"/>
          <w:szCs w:val="26"/>
          <w:lang w:val="es-ES" w:eastAsia="es-ES"/>
        </w:rPr>
        <w:t>(Resolución No. R-DCA-786-2013, de las doce horas del seis de diciembre de dos mil trece)</w:t>
      </w:r>
    </w:p>
    <w:p w:rsidR="00000000" w:rsidRDefault="00F82AB1">
      <w:pPr>
        <w:kinsoku w:val="0"/>
        <w:overflowPunct w:val="0"/>
        <w:autoSpaceDE/>
        <w:autoSpaceDN/>
        <w:adjustRightInd/>
        <w:spacing w:before="284" w:line="298" w:lineRule="exact"/>
        <w:ind w:right="72"/>
        <w:jc w:val="both"/>
        <w:textAlignment w:val="baseline"/>
        <w:rPr>
          <w:sz w:val="26"/>
          <w:szCs w:val="26"/>
          <w:lang w:val="es-ES" w:eastAsia="es-ES"/>
        </w:rPr>
      </w:pPr>
      <w:r>
        <w:rPr>
          <w:sz w:val="26"/>
          <w:szCs w:val="26"/>
          <w:lang w:val="es-ES" w:eastAsia="es-ES"/>
        </w:rPr>
        <w:t>Nótese, adicionalmente, que el Ordenamiento Jurídico a</w:t>
      </w:r>
      <w:r>
        <w:rPr>
          <w:sz w:val="26"/>
          <w:szCs w:val="26"/>
          <w:lang w:val="es-ES" w:eastAsia="es-ES"/>
        </w:rPr>
        <w:t>plicable en la especie no autoriza o tutela la posibilidad de una Gestión como la que se atiende. Además, sobre el Fondo de los Asuntos Principales de los Apelantes, deberá estarse en lo que este Tribunal resuelva en cuanto a los Expedientes Nos. TAT-159-1</w:t>
      </w:r>
      <w:r>
        <w:rPr>
          <w:sz w:val="26"/>
          <w:szCs w:val="26"/>
          <w:lang w:val="es-ES" w:eastAsia="es-ES"/>
        </w:rPr>
        <w:t>4 y TAT-161-14 a TAT-166-14.</w:t>
      </w:r>
    </w:p>
    <w:p w:rsidR="00000000" w:rsidRDefault="00F82AB1">
      <w:pPr>
        <w:kinsoku w:val="0"/>
        <w:overflowPunct w:val="0"/>
        <w:autoSpaceDE/>
        <w:autoSpaceDN/>
        <w:adjustRightInd/>
        <w:spacing w:before="302" w:line="290" w:lineRule="exact"/>
        <w:ind w:right="72"/>
        <w:jc w:val="both"/>
        <w:textAlignment w:val="baseline"/>
        <w:rPr>
          <w:sz w:val="26"/>
          <w:szCs w:val="26"/>
          <w:lang w:val="es-ES" w:eastAsia="es-ES"/>
        </w:rPr>
      </w:pPr>
      <w:r>
        <w:rPr>
          <w:sz w:val="26"/>
          <w:szCs w:val="26"/>
          <w:lang w:val="es-ES" w:eastAsia="es-ES"/>
        </w:rPr>
        <w:t>En tal orden de ideas la Gestión de Ampliación que se atiende y resuelve deviene en Manifiestamente Improcedente.</w:t>
      </w:r>
    </w:p>
    <w:p w:rsidR="00000000" w:rsidRDefault="00F82AB1">
      <w:pPr>
        <w:kinsoku w:val="0"/>
        <w:overflowPunct w:val="0"/>
        <w:autoSpaceDE/>
        <w:autoSpaceDN/>
        <w:adjustRightInd/>
        <w:spacing w:before="485" w:line="301" w:lineRule="exact"/>
        <w:ind w:right="72"/>
        <w:textAlignment w:val="baseline"/>
        <w:rPr>
          <w:b/>
          <w:bCs/>
          <w:spacing w:val="-1"/>
          <w:sz w:val="26"/>
          <w:szCs w:val="26"/>
          <w:lang w:val="es-ES" w:eastAsia="es-ES"/>
        </w:rPr>
      </w:pPr>
      <w:r>
        <w:rPr>
          <w:b/>
          <w:bCs/>
          <w:spacing w:val="-1"/>
          <w:sz w:val="26"/>
          <w:szCs w:val="26"/>
          <w:lang w:val="es-ES" w:eastAsia="es-ES"/>
        </w:rPr>
        <w:t>NULIDAD:</w:t>
      </w:r>
    </w:p>
    <w:p w:rsidR="00000000" w:rsidRDefault="00F82AB1">
      <w:pPr>
        <w:kinsoku w:val="0"/>
        <w:overflowPunct w:val="0"/>
        <w:autoSpaceDE/>
        <w:autoSpaceDN/>
        <w:adjustRightInd/>
        <w:spacing w:before="213" w:line="343" w:lineRule="exact"/>
        <w:ind w:right="72"/>
        <w:jc w:val="both"/>
        <w:textAlignment w:val="baseline"/>
        <w:rPr>
          <w:sz w:val="26"/>
          <w:szCs w:val="26"/>
          <w:lang w:val="es-ES" w:eastAsia="es-ES"/>
        </w:rPr>
      </w:pPr>
      <w:r>
        <w:rPr>
          <w:sz w:val="26"/>
          <w:szCs w:val="26"/>
          <w:lang w:val="es-ES" w:eastAsia="es-ES"/>
        </w:rPr>
        <w:t xml:space="preserve">En cuanto al aspecto de la Nulidad planteada, tanto por la </w:t>
      </w:r>
      <w:proofErr w:type="spellStart"/>
      <w:r>
        <w:rPr>
          <w:sz w:val="26"/>
          <w:szCs w:val="26"/>
          <w:lang w:val="es-ES" w:eastAsia="es-ES"/>
        </w:rPr>
        <w:t>accesoriedad</w:t>
      </w:r>
      <w:proofErr w:type="spellEnd"/>
      <w:r>
        <w:rPr>
          <w:sz w:val="26"/>
          <w:szCs w:val="26"/>
          <w:lang w:val="es-ES" w:eastAsia="es-ES"/>
        </w:rPr>
        <w:t xml:space="preserve"> de la misma, como por el hecho d</w:t>
      </w:r>
      <w:r>
        <w:rPr>
          <w:sz w:val="26"/>
          <w:szCs w:val="26"/>
          <w:lang w:val="es-ES" w:eastAsia="es-ES"/>
        </w:rPr>
        <w:t xml:space="preserve">e que este Tribunal no observa la existencia de algún vicio o falencia en cuanto a alguno de los elementos Objetivos, Subjetivos y/o Formales que pueda determinar un Vicio Nugatorio en cuanto a lo actuado en el caso de manas; así como tampoco se determina </w:t>
      </w:r>
      <w:r>
        <w:rPr>
          <w:sz w:val="26"/>
          <w:szCs w:val="26"/>
          <w:lang w:val="es-ES" w:eastAsia="es-ES"/>
        </w:rPr>
        <w:t>alguna infracción a los Derechos Fundamentales de Justicia, Debido Proceso y/o Defensa. Se determina que No Resulta como Procedente la Incidencia o Acción de Nulidad que también se ha cursado y atendido por este medio.</w:t>
      </w:r>
    </w:p>
    <w:p w:rsidR="00000000" w:rsidRDefault="00F82AB1">
      <w:pPr>
        <w:kinsoku w:val="0"/>
        <w:overflowPunct w:val="0"/>
        <w:autoSpaceDE/>
        <w:autoSpaceDN/>
        <w:adjustRightInd/>
        <w:spacing w:before="397" w:line="318" w:lineRule="exact"/>
        <w:ind w:right="72"/>
        <w:jc w:val="both"/>
        <w:textAlignment w:val="baseline"/>
        <w:rPr>
          <w:b/>
          <w:bCs/>
          <w:sz w:val="26"/>
          <w:szCs w:val="26"/>
          <w:lang w:val="es-ES" w:eastAsia="es-ES"/>
        </w:rPr>
      </w:pPr>
      <w:r>
        <w:rPr>
          <w:b/>
          <w:bCs/>
          <w:sz w:val="26"/>
          <w:szCs w:val="26"/>
          <w:lang w:val="es-ES" w:eastAsia="es-ES"/>
        </w:rPr>
        <w:t>NO AFECTACIÓN POR LA INCONSTITUCONALI</w:t>
      </w:r>
      <w:r>
        <w:rPr>
          <w:b/>
          <w:bCs/>
          <w:sz w:val="26"/>
          <w:szCs w:val="26"/>
          <w:lang w:val="es-ES" w:eastAsia="es-ES"/>
        </w:rPr>
        <w:t>DAD No. 13-013159-0007-CO:</w:t>
      </w:r>
    </w:p>
    <w:p w:rsidR="00000000" w:rsidRDefault="00F82AB1">
      <w:pPr>
        <w:kinsoku w:val="0"/>
        <w:overflowPunct w:val="0"/>
        <w:autoSpaceDE/>
        <w:autoSpaceDN/>
        <w:adjustRightInd/>
        <w:spacing w:before="202" w:line="348" w:lineRule="exact"/>
        <w:ind w:right="72"/>
        <w:jc w:val="both"/>
        <w:textAlignment w:val="baseline"/>
        <w:rPr>
          <w:sz w:val="26"/>
          <w:szCs w:val="26"/>
          <w:lang w:val="es-ES" w:eastAsia="es-ES"/>
        </w:rPr>
      </w:pPr>
      <w:r>
        <w:rPr>
          <w:sz w:val="26"/>
          <w:szCs w:val="26"/>
          <w:lang w:val="es-ES" w:eastAsia="es-ES"/>
        </w:rPr>
        <w:t>A los efectos meritorios y dado nuestro conocimiento de la interposición y trámite (curso) de la Acción de Inconstitucionalidad No. 13-013159-0007-CO, promovida por la firma T</w:t>
      </w:r>
      <w:r w:rsidR="003A05BF">
        <w:rPr>
          <w:sz w:val="26"/>
          <w:szCs w:val="26"/>
          <w:lang w:val="es-ES" w:eastAsia="es-ES"/>
        </w:rPr>
        <w:t>.U.A.I.J.S.A.</w:t>
      </w:r>
      <w:r>
        <w:rPr>
          <w:sz w:val="26"/>
          <w:szCs w:val="26"/>
          <w:lang w:val="es-ES" w:eastAsia="es-ES"/>
        </w:rPr>
        <w:t>, se tiene que ella no afecta o imposibilita la Resolución de este caso; toda vez que lo que se discute en cuanto al mismo no conlleva la consideración de las Normas cuestionadas en la Inconstitucionalidad de referencia, ni lo que se pueda definir en</w:t>
      </w:r>
      <w:r>
        <w:rPr>
          <w:sz w:val="26"/>
          <w:szCs w:val="26"/>
          <w:lang w:val="es-ES" w:eastAsia="es-ES"/>
        </w:rPr>
        <w:t xml:space="preserve"> cuanto a la misma afectaría el resultado de este Asunto.</w:t>
      </w:r>
    </w:p>
    <w:p w:rsidR="00000000" w:rsidRDefault="00F82AB1">
      <w:pPr>
        <w:widowControl/>
        <w:rPr>
          <w:sz w:val="24"/>
          <w:szCs w:val="24"/>
        </w:rPr>
        <w:sectPr w:rsidR="00000000">
          <w:pgSz w:w="12240" w:h="15840"/>
          <w:pgMar w:top="1417" w:right="1613" w:bottom="1366" w:left="1627" w:header="720" w:footer="720" w:gutter="0"/>
          <w:cols w:space="720"/>
          <w:noEndnote/>
        </w:sectPr>
      </w:pPr>
    </w:p>
    <w:p w:rsidR="00000000" w:rsidRDefault="00F82AB1">
      <w:pPr>
        <w:kinsoku w:val="0"/>
        <w:overflowPunct w:val="0"/>
        <w:autoSpaceDE/>
        <w:autoSpaceDN/>
        <w:adjustRightInd/>
        <w:spacing w:before="8" w:line="296" w:lineRule="exact"/>
        <w:ind w:left="72" w:right="504"/>
        <w:jc w:val="both"/>
        <w:textAlignment w:val="baseline"/>
        <w:rPr>
          <w:sz w:val="26"/>
          <w:szCs w:val="26"/>
          <w:lang w:val="es-ES" w:eastAsia="es-ES"/>
        </w:rPr>
      </w:pPr>
      <w:r>
        <w:rPr>
          <w:sz w:val="26"/>
          <w:szCs w:val="26"/>
          <w:lang w:val="es-ES" w:eastAsia="es-ES"/>
        </w:rPr>
        <w:t>Siendo en mérito de todo lo señalado supra que se dispone la resolución y el rechazo del presente caso.</w:t>
      </w:r>
    </w:p>
    <w:p w:rsidR="00000000" w:rsidRDefault="00F82AB1">
      <w:pPr>
        <w:kinsoku w:val="0"/>
        <w:overflowPunct w:val="0"/>
        <w:autoSpaceDE/>
        <w:autoSpaceDN/>
        <w:adjustRightInd/>
        <w:spacing w:before="275" w:line="299" w:lineRule="exact"/>
        <w:ind w:left="72"/>
        <w:jc w:val="center"/>
        <w:textAlignment w:val="baseline"/>
        <w:rPr>
          <w:b/>
          <w:bCs/>
          <w:i/>
          <w:iCs/>
          <w:sz w:val="26"/>
          <w:szCs w:val="26"/>
          <w:lang w:val="es-ES" w:eastAsia="es-ES"/>
        </w:rPr>
      </w:pPr>
      <w:r>
        <w:rPr>
          <w:b/>
          <w:bCs/>
          <w:i/>
          <w:iCs/>
          <w:sz w:val="26"/>
          <w:szCs w:val="26"/>
          <w:lang w:val="es-ES" w:eastAsia="es-ES"/>
        </w:rPr>
        <w:t>POR TANTO:</w:t>
      </w:r>
    </w:p>
    <w:p w:rsidR="00000000" w:rsidRDefault="00F82AB1">
      <w:pPr>
        <w:numPr>
          <w:ilvl w:val="0"/>
          <w:numId w:val="10"/>
        </w:numPr>
        <w:kinsoku w:val="0"/>
        <w:overflowPunct w:val="0"/>
        <w:autoSpaceDE/>
        <w:autoSpaceDN/>
        <w:adjustRightInd/>
        <w:spacing w:before="529" w:line="341" w:lineRule="exact"/>
        <w:ind w:right="432"/>
        <w:jc w:val="both"/>
        <w:textAlignment w:val="baseline"/>
        <w:rPr>
          <w:b/>
          <w:bCs/>
          <w:i/>
          <w:iCs/>
          <w:sz w:val="26"/>
          <w:szCs w:val="26"/>
          <w:lang w:val="es-ES" w:eastAsia="es-ES"/>
        </w:rPr>
      </w:pPr>
      <w:r>
        <w:rPr>
          <w:sz w:val="26"/>
          <w:szCs w:val="26"/>
          <w:lang w:val="es-ES" w:eastAsia="es-ES"/>
        </w:rPr>
        <w:t xml:space="preserve">Conforme a lo </w:t>
      </w:r>
      <w:r>
        <w:rPr>
          <w:i/>
          <w:iCs/>
          <w:sz w:val="26"/>
          <w:szCs w:val="26"/>
          <w:lang w:val="es-ES" w:eastAsia="es-ES"/>
        </w:rPr>
        <w:t xml:space="preserve">supra </w:t>
      </w:r>
      <w:r>
        <w:rPr>
          <w:sz w:val="26"/>
          <w:szCs w:val="26"/>
          <w:lang w:val="es-ES" w:eastAsia="es-ES"/>
        </w:rPr>
        <w:t xml:space="preserve">expuesto, se dispone </w:t>
      </w:r>
      <w:r>
        <w:rPr>
          <w:b/>
          <w:bCs/>
          <w:sz w:val="26"/>
          <w:szCs w:val="26"/>
          <w:u w:val="single"/>
          <w:lang w:val="es-ES" w:eastAsia="es-ES"/>
        </w:rPr>
        <w:t>RECHAZAR</w:t>
      </w:r>
      <w:r>
        <w:rPr>
          <w:sz w:val="26"/>
          <w:szCs w:val="26"/>
          <w:lang w:val="es-ES" w:eastAsia="es-ES"/>
        </w:rPr>
        <w:t xml:space="preserve"> por Manifiestamente Improcedente la </w:t>
      </w:r>
      <w:r>
        <w:rPr>
          <w:b/>
          <w:bCs/>
          <w:sz w:val="26"/>
          <w:szCs w:val="26"/>
          <w:lang w:val="es-ES" w:eastAsia="es-ES"/>
        </w:rPr>
        <w:t xml:space="preserve">GESTIÓN DE AMPLIACIÓN A RECURSO DE APELACIÓN EN SUBSIDIO </w:t>
      </w:r>
      <w:r>
        <w:rPr>
          <w:sz w:val="26"/>
          <w:szCs w:val="26"/>
          <w:lang w:val="es-ES" w:eastAsia="es-ES"/>
        </w:rPr>
        <w:t xml:space="preserve">y de la </w:t>
      </w:r>
      <w:r>
        <w:rPr>
          <w:b/>
          <w:bCs/>
          <w:sz w:val="26"/>
          <w:szCs w:val="26"/>
          <w:lang w:val="es-ES" w:eastAsia="es-ES"/>
        </w:rPr>
        <w:t xml:space="preserve">ACCIÓN DE NULIDAD ABSOLUTA </w:t>
      </w:r>
      <w:r>
        <w:rPr>
          <w:sz w:val="26"/>
          <w:szCs w:val="26"/>
          <w:lang w:val="es-ES" w:eastAsia="es-ES"/>
        </w:rPr>
        <w:t>concomitante, presentados por el Lic. J</w:t>
      </w:r>
      <w:r w:rsidR="003A05BF">
        <w:rPr>
          <w:sz w:val="26"/>
          <w:szCs w:val="26"/>
          <w:lang w:val="es-ES" w:eastAsia="es-ES"/>
        </w:rPr>
        <w:t>.F.P.</w:t>
      </w:r>
      <w:r>
        <w:rPr>
          <w:sz w:val="26"/>
          <w:szCs w:val="26"/>
          <w:lang w:val="es-ES" w:eastAsia="es-ES"/>
        </w:rPr>
        <w:t xml:space="preserve">, de calidades conocidas y portador de la cédula de identidad </w:t>
      </w:r>
      <w:proofErr w:type="gramStart"/>
      <w:r>
        <w:rPr>
          <w:sz w:val="26"/>
          <w:szCs w:val="26"/>
          <w:lang w:val="es-ES" w:eastAsia="es-ES"/>
        </w:rPr>
        <w:t xml:space="preserve">número </w:t>
      </w:r>
      <w:r w:rsidR="003A05BF">
        <w:rPr>
          <w:sz w:val="26"/>
          <w:szCs w:val="26"/>
          <w:lang w:val="es-ES" w:eastAsia="es-ES"/>
        </w:rPr>
        <w:t>…</w:t>
      </w:r>
      <w:proofErr w:type="gramEnd"/>
      <w:r>
        <w:rPr>
          <w:sz w:val="26"/>
          <w:szCs w:val="26"/>
          <w:lang w:val="es-ES" w:eastAsia="es-ES"/>
        </w:rPr>
        <w:t>, como representante de los Recurrentes de consignados en sus Memoriales Nos. CDP-ES-383-2013 y del CDP-ES-385-2013 hasta el CDP-ES-392-2013, interpuestos contra el Artículo 7.1 de la Sesión Extraordinaria No. 02-2013 de la Junta Directiva del Cons</w:t>
      </w:r>
      <w:r>
        <w:rPr>
          <w:sz w:val="26"/>
          <w:szCs w:val="26"/>
          <w:lang w:val="es-ES" w:eastAsia="es-ES"/>
        </w:rPr>
        <w:t xml:space="preserve">ejo de Transporte Público, de fecha 05 de Agosto del 2013, el cual es el </w:t>
      </w:r>
      <w:r>
        <w:rPr>
          <w:b/>
          <w:bCs/>
          <w:i/>
          <w:iCs/>
          <w:sz w:val="26"/>
          <w:szCs w:val="26"/>
          <w:lang w:val="es-ES" w:eastAsia="es-ES"/>
        </w:rPr>
        <w:t xml:space="preserve">"Acto de Adjudicación del Procedimiento Abreviado para el </w:t>
      </w:r>
      <w:proofErr w:type="spellStart"/>
      <w:r>
        <w:rPr>
          <w:b/>
          <w:bCs/>
          <w:i/>
          <w:iCs/>
          <w:sz w:val="26"/>
          <w:szCs w:val="26"/>
          <w:lang w:val="es-ES" w:eastAsia="es-ES"/>
        </w:rPr>
        <w:t>Concesionamiento</w:t>
      </w:r>
      <w:proofErr w:type="spellEnd"/>
      <w:r>
        <w:rPr>
          <w:b/>
          <w:bCs/>
          <w:i/>
          <w:iCs/>
          <w:sz w:val="26"/>
          <w:szCs w:val="26"/>
          <w:lang w:val="es-ES" w:eastAsia="es-ES"/>
        </w:rPr>
        <w:t xml:space="preserve"> del Servicio Público de Taxis en la Base Especial de Operaciones del Aeropuerto Internacional Juan Santamarí</w:t>
      </w:r>
      <w:r>
        <w:rPr>
          <w:b/>
          <w:bCs/>
          <w:i/>
          <w:iCs/>
          <w:sz w:val="26"/>
          <w:szCs w:val="26"/>
          <w:lang w:val="es-ES" w:eastAsia="es-ES"/>
        </w:rPr>
        <w:t>a".</w:t>
      </w:r>
    </w:p>
    <w:p w:rsidR="00000000" w:rsidRDefault="00F82AB1">
      <w:pPr>
        <w:numPr>
          <w:ilvl w:val="0"/>
          <w:numId w:val="11"/>
        </w:numPr>
        <w:kinsoku w:val="0"/>
        <w:overflowPunct w:val="0"/>
        <w:autoSpaceDE/>
        <w:autoSpaceDN/>
        <w:adjustRightInd/>
        <w:spacing w:before="216" w:line="341" w:lineRule="exact"/>
        <w:ind w:right="504"/>
        <w:jc w:val="both"/>
        <w:textAlignment w:val="baseline"/>
        <w:rPr>
          <w:sz w:val="26"/>
          <w:szCs w:val="26"/>
          <w:lang w:val="es-ES" w:eastAsia="es-ES"/>
        </w:rPr>
      </w:pPr>
      <w:r>
        <w:rPr>
          <w:sz w:val="26"/>
          <w:szCs w:val="26"/>
          <w:lang w:val="es-ES" w:eastAsia="es-ES"/>
        </w:rPr>
        <w:t>Conforme las determinaciones del numeral 22, inciso c), de la Ley No. 7969, se Da por Agotada la Vía Administrativa, toda vez que contra este acto resolutorio no procede recurso alguno.</w:t>
      </w:r>
    </w:p>
    <w:p w:rsidR="00000000" w:rsidRDefault="00F82AB1">
      <w:pPr>
        <w:numPr>
          <w:ilvl w:val="0"/>
          <w:numId w:val="12"/>
        </w:numPr>
        <w:kinsoku w:val="0"/>
        <w:overflowPunct w:val="0"/>
        <w:autoSpaceDE/>
        <w:autoSpaceDN/>
        <w:adjustRightInd/>
        <w:spacing w:line="547" w:lineRule="exact"/>
        <w:textAlignment w:val="baseline"/>
        <w:rPr>
          <w:b/>
          <w:bCs/>
          <w:sz w:val="26"/>
          <w:szCs w:val="26"/>
          <w:lang w:val="es-ES" w:eastAsia="es-ES"/>
        </w:rPr>
      </w:pPr>
      <w:r>
        <w:rPr>
          <w:sz w:val="26"/>
          <w:szCs w:val="26"/>
          <w:lang w:val="es-ES" w:eastAsia="es-ES"/>
        </w:rPr>
        <w:t>Rige a partir de su Notificación.</w:t>
      </w:r>
      <w:r>
        <w:rPr>
          <w:sz w:val="26"/>
          <w:szCs w:val="26"/>
          <w:lang w:val="es-ES" w:eastAsia="es-ES"/>
        </w:rPr>
        <w:br/>
      </w:r>
      <w:r>
        <w:rPr>
          <w:b/>
          <w:bCs/>
          <w:sz w:val="26"/>
          <w:szCs w:val="26"/>
          <w:lang w:val="es-ES" w:eastAsia="es-ES"/>
        </w:rPr>
        <w:t>NOTIFIQUESE.</w:t>
      </w:r>
    </w:p>
    <w:p w:rsidR="003A05BF" w:rsidRDefault="003A05BF">
      <w:pPr>
        <w:numPr>
          <w:ilvl w:val="0"/>
          <w:numId w:val="12"/>
        </w:numPr>
        <w:kinsoku w:val="0"/>
        <w:overflowPunct w:val="0"/>
        <w:autoSpaceDE/>
        <w:autoSpaceDN/>
        <w:adjustRightInd/>
        <w:spacing w:line="547" w:lineRule="exact"/>
        <w:textAlignment w:val="baseline"/>
        <w:rPr>
          <w:b/>
          <w:bCs/>
          <w:sz w:val="26"/>
          <w:szCs w:val="26"/>
          <w:lang w:val="es-ES" w:eastAsia="es-ES"/>
        </w:rPr>
      </w:pPr>
    </w:p>
    <w:p w:rsidR="003A05BF" w:rsidRPr="00E94E94" w:rsidRDefault="003A05BF" w:rsidP="003A05BF">
      <w:pPr>
        <w:pStyle w:val="Style4"/>
        <w:kinsoku w:val="0"/>
        <w:autoSpaceDE/>
        <w:ind w:left="72"/>
        <w:jc w:val="center"/>
        <w:rPr>
          <w:rStyle w:val="CharacterStyle4"/>
          <w:spacing w:val="2"/>
          <w:w w:val="105"/>
          <w:sz w:val="28"/>
          <w:lang w:val="es-ES" w:eastAsia="es-ES"/>
        </w:rPr>
      </w:pPr>
      <w:r w:rsidRPr="00E94E94">
        <w:rPr>
          <w:rStyle w:val="CharacterStyle4"/>
          <w:spacing w:val="2"/>
          <w:w w:val="105"/>
          <w:sz w:val="28"/>
          <w:lang w:val="es-ES" w:eastAsia="es-ES"/>
        </w:rPr>
        <w:t>Lic. Carlos Miguel Portuguez Méndez</w:t>
      </w:r>
    </w:p>
    <w:p w:rsidR="003A05BF" w:rsidRPr="00E94E94" w:rsidRDefault="003A05BF" w:rsidP="003A05BF">
      <w:pPr>
        <w:pStyle w:val="Style4"/>
        <w:kinsoku w:val="0"/>
        <w:autoSpaceDE/>
        <w:ind w:left="72"/>
        <w:jc w:val="center"/>
        <w:rPr>
          <w:rStyle w:val="CharacterStyle4"/>
          <w:b/>
          <w:spacing w:val="2"/>
          <w:w w:val="105"/>
          <w:sz w:val="28"/>
          <w:lang w:val="es-ES" w:eastAsia="es-ES"/>
        </w:rPr>
      </w:pPr>
      <w:r w:rsidRPr="00E94E94">
        <w:rPr>
          <w:rStyle w:val="CharacterStyle4"/>
          <w:b/>
          <w:spacing w:val="2"/>
          <w:w w:val="105"/>
          <w:sz w:val="28"/>
          <w:lang w:val="es-ES" w:eastAsia="es-ES"/>
        </w:rPr>
        <w:t>Presidente</w:t>
      </w:r>
    </w:p>
    <w:p w:rsidR="003A05BF" w:rsidRPr="00E94E94" w:rsidRDefault="003A05BF" w:rsidP="003A05BF">
      <w:pPr>
        <w:pStyle w:val="Style4"/>
        <w:kinsoku w:val="0"/>
        <w:autoSpaceDE/>
        <w:ind w:left="72"/>
        <w:rPr>
          <w:rStyle w:val="CharacterStyle4"/>
          <w:spacing w:val="2"/>
          <w:w w:val="105"/>
          <w:sz w:val="28"/>
          <w:lang w:val="es-ES" w:eastAsia="es-ES"/>
        </w:rPr>
      </w:pPr>
    </w:p>
    <w:p w:rsidR="003A05BF" w:rsidRPr="00E94E94" w:rsidRDefault="003A05BF" w:rsidP="003A05BF">
      <w:pPr>
        <w:pStyle w:val="Style4"/>
        <w:kinsoku w:val="0"/>
        <w:autoSpaceDE/>
        <w:ind w:left="72"/>
        <w:rPr>
          <w:rStyle w:val="CharacterStyle4"/>
          <w:spacing w:val="2"/>
          <w:w w:val="105"/>
          <w:sz w:val="28"/>
          <w:lang w:val="es-ES" w:eastAsia="es-ES"/>
        </w:rPr>
      </w:pPr>
    </w:p>
    <w:p w:rsidR="003A05BF" w:rsidRPr="00E94E94" w:rsidRDefault="003A05BF" w:rsidP="003A05BF">
      <w:pPr>
        <w:pStyle w:val="Style4"/>
        <w:kinsoku w:val="0"/>
        <w:autoSpaceDE/>
        <w:ind w:left="72"/>
        <w:rPr>
          <w:rStyle w:val="CharacterStyle4"/>
          <w:spacing w:val="2"/>
          <w:w w:val="105"/>
          <w:sz w:val="28"/>
          <w:lang w:val="es-ES" w:eastAsia="es-ES"/>
        </w:rPr>
      </w:pPr>
    </w:p>
    <w:p w:rsidR="003A05BF" w:rsidRPr="00E94E94" w:rsidRDefault="003A05BF" w:rsidP="003A05BF">
      <w:pPr>
        <w:pStyle w:val="Style4"/>
        <w:kinsoku w:val="0"/>
        <w:autoSpaceDE/>
        <w:ind w:left="72"/>
        <w:rPr>
          <w:rStyle w:val="CharacterStyle4"/>
          <w:spacing w:val="2"/>
          <w:w w:val="105"/>
          <w:sz w:val="28"/>
          <w:lang w:val="es-ES" w:eastAsia="es-ES"/>
        </w:rPr>
      </w:pPr>
    </w:p>
    <w:p w:rsidR="003A05BF" w:rsidRPr="00E94E94" w:rsidRDefault="003A05BF" w:rsidP="003A05BF">
      <w:pPr>
        <w:pStyle w:val="Style4"/>
        <w:kinsoku w:val="0"/>
        <w:autoSpaceDE/>
        <w:ind w:left="72"/>
        <w:rPr>
          <w:rStyle w:val="CharacterStyle4"/>
          <w:spacing w:val="2"/>
          <w:w w:val="105"/>
          <w:sz w:val="28"/>
          <w:lang w:val="es-ES" w:eastAsia="es-ES"/>
        </w:rPr>
      </w:pPr>
      <w:r w:rsidRPr="00E94E94">
        <w:rPr>
          <w:rStyle w:val="CharacterStyle4"/>
          <w:spacing w:val="2"/>
          <w:w w:val="105"/>
          <w:sz w:val="28"/>
          <w:lang w:val="es-ES" w:eastAsia="es-ES"/>
        </w:rPr>
        <w:t>Licda. Marta Luz Pérez Peláez</w:t>
      </w:r>
      <w:r w:rsidRPr="00E94E94">
        <w:rPr>
          <w:rStyle w:val="CharacterStyle4"/>
          <w:spacing w:val="2"/>
          <w:w w:val="105"/>
          <w:sz w:val="28"/>
          <w:lang w:val="es-ES" w:eastAsia="es-ES"/>
        </w:rPr>
        <w:tab/>
        <w:t xml:space="preserve">          Lic. Mario Quesada Aguirre</w:t>
      </w:r>
    </w:p>
    <w:p w:rsidR="003A05BF" w:rsidRPr="00E94E94" w:rsidRDefault="003A05BF" w:rsidP="003A05BF">
      <w:pPr>
        <w:kinsoku w:val="0"/>
        <w:overflowPunct w:val="0"/>
        <w:autoSpaceDE/>
        <w:autoSpaceDN/>
        <w:adjustRightInd/>
        <w:spacing w:before="309" w:after="138" w:line="313" w:lineRule="exact"/>
        <w:ind w:left="72" w:right="576"/>
        <w:jc w:val="both"/>
        <w:textAlignment w:val="baseline"/>
        <w:rPr>
          <w:rFonts w:ascii="Verdana" w:hAnsi="Verdana" w:cs="Verdana"/>
          <w:b/>
          <w:bCs/>
          <w:sz w:val="24"/>
          <w:szCs w:val="22"/>
          <w:lang w:val="es-ES" w:eastAsia="es-ES"/>
        </w:rPr>
      </w:pPr>
      <w:r w:rsidRPr="00E94E94">
        <w:rPr>
          <w:rStyle w:val="CharacterStyle4"/>
          <w:spacing w:val="2"/>
          <w:w w:val="105"/>
          <w:sz w:val="28"/>
          <w:lang w:val="es-ES" w:eastAsia="es-ES"/>
        </w:rPr>
        <w:tab/>
        <w:t xml:space="preserve">       </w:t>
      </w:r>
      <w:r w:rsidRPr="00E94E94">
        <w:rPr>
          <w:rStyle w:val="CharacterStyle4"/>
          <w:b/>
          <w:spacing w:val="2"/>
          <w:w w:val="105"/>
          <w:sz w:val="28"/>
          <w:lang w:val="es-ES" w:eastAsia="es-ES"/>
        </w:rPr>
        <w:t>Juez</w:t>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r>
      <w:r w:rsidRPr="00E94E94">
        <w:rPr>
          <w:rStyle w:val="CharacterStyle4"/>
          <w:b/>
          <w:spacing w:val="2"/>
          <w:w w:val="105"/>
          <w:sz w:val="28"/>
          <w:lang w:val="es-ES" w:eastAsia="es-ES"/>
        </w:rPr>
        <w:tab/>
        <w:t xml:space="preserve">                  Juez</w:t>
      </w:r>
    </w:p>
    <w:p w:rsidR="003A05BF" w:rsidRDefault="003A05BF" w:rsidP="003A05BF">
      <w:pPr>
        <w:kinsoku w:val="0"/>
        <w:overflowPunct w:val="0"/>
        <w:autoSpaceDE/>
        <w:autoSpaceDN/>
        <w:adjustRightInd/>
        <w:spacing w:before="261" w:after="781" w:line="577" w:lineRule="exact"/>
        <w:ind w:left="72"/>
        <w:textAlignment w:val="baseline"/>
        <w:rPr>
          <w:b/>
          <w:bCs/>
          <w:sz w:val="26"/>
          <w:szCs w:val="26"/>
          <w:lang w:val="es-ES" w:eastAsia="es-ES"/>
        </w:rPr>
      </w:pPr>
      <w:r>
        <w:rPr>
          <w:sz w:val="24"/>
          <w:szCs w:val="24"/>
        </w:rPr>
        <w:t xml:space="preserve"> </w:t>
      </w:r>
    </w:p>
    <w:sectPr w:rsidR="003A05BF" w:rsidSect="003A05BF">
      <w:pgSz w:w="12240" w:h="15840"/>
      <w:pgMar w:top="1460" w:right="1203" w:bottom="993" w:left="1637"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550E1"/>
    <w:multiLevelType w:val="singleLevel"/>
    <w:tmpl w:val="1B6C72AA"/>
    <w:lvl w:ilvl="0">
      <w:start w:val="1"/>
      <w:numFmt w:val="decimal"/>
      <w:lvlText w:val="%1.-"/>
      <w:lvlJc w:val="left"/>
      <w:pPr>
        <w:tabs>
          <w:tab w:val="num" w:pos="792"/>
        </w:tabs>
        <w:ind w:left="72"/>
      </w:pPr>
      <w:rPr>
        <w:b/>
        <w:snapToGrid/>
        <w:sz w:val="26"/>
        <w:szCs w:val="26"/>
      </w:rPr>
    </w:lvl>
  </w:abstractNum>
  <w:abstractNum w:abstractNumId="1">
    <w:nsid w:val="022535F6"/>
    <w:multiLevelType w:val="singleLevel"/>
    <w:tmpl w:val="04ACC114"/>
    <w:lvl w:ilvl="0">
      <w:numFmt w:val="bullet"/>
      <w:suff w:val="nothing"/>
      <w:lvlText w:val="·"/>
      <w:lvlJc w:val="left"/>
      <w:pPr>
        <w:tabs>
          <w:tab w:val="num" w:pos="0"/>
        </w:tabs>
      </w:pPr>
      <w:rPr>
        <w:rFonts w:ascii="Symbol" w:hAnsi="Symbol" w:cs="Symbol"/>
        <w:snapToGrid/>
        <w:spacing w:val="-29"/>
        <w:sz w:val="16"/>
        <w:szCs w:val="16"/>
        <w:vertAlign w:val="superscript"/>
      </w:rPr>
    </w:lvl>
  </w:abstractNum>
  <w:abstractNum w:abstractNumId="2">
    <w:nsid w:val="06A91B7D"/>
    <w:multiLevelType w:val="singleLevel"/>
    <w:tmpl w:val="56B9403E"/>
    <w:lvl w:ilvl="0">
      <w:start w:val="1"/>
      <w:numFmt w:val="decimal"/>
      <w:lvlText w:val="%1.-"/>
      <w:lvlJc w:val="left"/>
      <w:pPr>
        <w:tabs>
          <w:tab w:val="num" w:pos="720"/>
        </w:tabs>
        <w:ind w:left="72"/>
      </w:pPr>
      <w:rPr>
        <w:snapToGrid/>
        <w:sz w:val="26"/>
        <w:szCs w:val="26"/>
      </w:rPr>
    </w:lvl>
  </w:abstractNum>
  <w:abstractNum w:abstractNumId="3">
    <w:nsid w:val="06D12EFA"/>
    <w:multiLevelType w:val="singleLevel"/>
    <w:tmpl w:val="41CEFC9E"/>
    <w:lvl w:ilvl="0">
      <w:start w:val="3"/>
      <w:numFmt w:val="decimal"/>
      <w:lvlText w:val="%1.-"/>
      <w:lvlJc w:val="left"/>
      <w:pPr>
        <w:tabs>
          <w:tab w:val="num" w:pos="1008"/>
        </w:tabs>
        <w:ind w:left="288"/>
      </w:pPr>
      <w:rPr>
        <w:b/>
        <w:snapToGrid/>
        <w:sz w:val="26"/>
        <w:szCs w:val="26"/>
      </w:rPr>
    </w:lvl>
  </w:abstractNum>
  <w:num w:numId="1">
    <w:abstractNumId w:val="0"/>
  </w:num>
  <w:num w:numId="2">
    <w:abstractNumId w:val="3"/>
  </w:num>
  <w:num w:numId="3">
    <w:abstractNumId w:val="1"/>
  </w:num>
  <w:num w:numId="4">
    <w:abstractNumId w:val="1"/>
    <w:lvlOverride w:ilvl="0">
      <w:lvl w:ilvl="0">
        <w:numFmt w:val="bullet"/>
        <w:lvlText w:val="·"/>
        <w:lvlJc w:val="left"/>
        <w:pPr>
          <w:tabs>
            <w:tab w:val="num" w:pos="4608"/>
          </w:tabs>
          <w:ind w:left="144"/>
        </w:pPr>
        <w:rPr>
          <w:rFonts w:ascii="Symbol" w:hAnsi="Symbol" w:cs="Symbol"/>
          <w:snapToGrid/>
          <w:spacing w:val="67"/>
          <w:sz w:val="26"/>
          <w:szCs w:val="26"/>
        </w:rPr>
      </w:lvl>
    </w:lvlOverride>
  </w:num>
  <w:num w:numId="5">
    <w:abstractNumId w:val="1"/>
    <w:lvlOverride w:ilvl="0">
      <w:lvl w:ilvl="0">
        <w:numFmt w:val="bullet"/>
        <w:lvlText w:val="·"/>
        <w:lvlJc w:val="left"/>
        <w:pPr>
          <w:tabs>
            <w:tab w:val="num" w:pos="5040"/>
          </w:tabs>
          <w:ind w:left="3744"/>
        </w:pPr>
        <w:rPr>
          <w:rFonts w:ascii="Symbol" w:hAnsi="Symbol" w:cs="Symbol"/>
          <w:b/>
          <w:bCs/>
          <w:snapToGrid/>
          <w:spacing w:val="24"/>
          <w:sz w:val="19"/>
          <w:szCs w:val="19"/>
        </w:rPr>
      </w:lvl>
    </w:lvlOverride>
  </w:num>
  <w:num w:numId="6">
    <w:abstractNumId w:val="1"/>
    <w:lvlOverride w:ilvl="0">
      <w:lvl w:ilvl="0">
        <w:numFmt w:val="bullet"/>
        <w:lvlText w:val="·"/>
        <w:lvlJc w:val="left"/>
        <w:pPr>
          <w:tabs>
            <w:tab w:val="num" w:pos="1008"/>
          </w:tabs>
          <w:ind w:left="360"/>
        </w:pPr>
        <w:rPr>
          <w:rFonts w:ascii="Symbol" w:hAnsi="Symbol" w:cs="Symbol"/>
          <w:snapToGrid/>
          <w:w w:val="80"/>
          <w:sz w:val="31"/>
          <w:szCs w:val="31"/>
        </w:rPr>
      </w:lvl>
    </w:lvlOverride>
  </w:num>
  <w:num w:numId="7">
    <w:abstractNumId w:val="1"/>
    <w:lvlOverride w:ilvl="0">
      <w:lvl w:ilvl="0">
        <w:numFmt w:val="bullet"/>
        <w:suff w:val="nothing"/>
        <w:lvlText w:val="·"/>
        <w:lvlJc w:val="left"/>
        <w:pPr>
          <w:tabs>
            <w:tab w:val="num" w:pos="0"/>
          </w:tabs>
        </w:pPr>
        <w:rPr>
          <w:rFonts w:ascii="Symbol" w:hAnsi="Symbol" w:cs="Symbol"/>
          <w:snapToGrid/>
          <w:spacing w:val="102"/>
          <w:sz w:val="16"/>
          <w:szCs w:val="16"/>
        </w:rPr>
      </w:lvl>
    </w:lvlOverride>
  </w:num>
  <w:num w:numId="8">
    <w:abstractNumId w:val="1"/>
    <w:lvlOverride w:ilvl="0">
      <w:lvl w:ilvl="0">
        <w:numFmt w:val="bullet"/>
        <w:lvlText w:val="·"/>
        <w:lvlJc w:val="left"/>
        <w:pPr>
          <w:tabs>
            <w:tab w:val="num" w:pos="720"/>
          </w:tabs>
          <w:ind w:left="144"/>
        </w:pPr>
        <w:rPr>
          <w:rFonts w:ascii="Symbol" w:hAnsi="Symbol" w:cs="Symbol"/>
          <w:snapToGrid/>
          <w:spacing w:val="-56"/>
          <w:w w:val="80"/>
          <w:sz w:val="31"/>
          <w:szCs w:val="31"/>
        </w:rPr>
      </w:lvl>
    </w:lvlOverride>
  </w:num>
  <w:num w:numId="9">
    <w:abstractNumId w:val="1"/>
    <w:lvlOverride w:ilvl="0">
      <w:lvl w:ilvl="0">
        <w:numFmt w:val="bullet"/>
        <w:lvlText w:val="·"/>
        <w:lvlJc w:val="left"/>
        <w:pPr>
          <w:tabs>
            <w:tab w:val="num" w:pos="1152"/>
          </w:tabs>
          <w:ind w:left="1152"/>
        </w:pPr>
        <w:rPr>
          <w:rFonts w:ascii="Symbol" w:hAnsi="Symbol" w:cs="Symbol"/>
          <w:snapToGrid/>
          <w:w w:val="80"/>
          <w:sz w:val="31"/>
          <w:szCs w:val="31"/>
        </w:rPr>
      </w:lvl>
    </w:lvlOverride>
  </w:num>
  <w:num w:numId="10">
    <w:abstractNumId w:val="2"/>
  </w:num>
  <w:num w:numId="11">
    <w:abstractNumId w:val="2"/>
    <w:lvlOverride w:ilvl="0">
      <w:lvl w:ilvl="0">
        <w:numFmt w:val="decimal"/>
        <w:lvlText w:val="%1.-"/>
        <w:lvlJc w:val="left"/>
        <w:pPr>
          <w:tabs>
            <w:tab w:val="num" w:pos="720"/>
          </w:tabs>
          <w:ind w:left="72"/>
        </w:pPr>
        <w:rPr>
          <w:snapToGrid/>
          <w:sz w:val="26"/>
          <w:szCs w:val="26"/>
        </w:rPr>
      </w:lvl>
    </w:lvlOverride>
  </w:num>
  <w:num w:numId="12">
    <w:abstractNumId w:val="2"/>
    <w:lvlOverride w:ilvl="0">
      <w:lvl w:ilvl="0">
        <w:numFmt w:val="decimal"/>
        <w:lvlText w:val="%1.-"/>
        <w:lvlJc w:val="left"/>
        <w:pPr>
          <w:tabs>
            <w:tab w:val="num" w:pos="720"/>
          </w:tabs>
          <w:ind w:left="72"/>
        </w:pPr>
        <w:rPr>
          <w:snapToGrid/>
          <w:sz w:val="26"/>
          <w:szCs w:val="26"/>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savePreviewPicture/>
  <w:doNotValidateAgainstSchema/>
  <w:doNotDemarcateInvalidXml/>
  <w:compat>
    <w:applyBreakingRules/>
    <w:useFELayout/>
  </w:compat>
  <w:rsids>
    <w:rsidRoot w:val="00E56A8B"/>
    <w:rsid w:val="003A05BF"/>
    <w:rsid w:val="005F2500"/>
    <w:rsid w:val="00E56A8B"/>
    <w:rsid w:val="00F82AB1"/>
    <w:rsid w:val="00FF4A8D"/>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99"/>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4">
    <w:name w:val="Style 4"/>
    <w:basedOn w:val="Normal"/>
    <w:uiPriority w:val="99"/>
    <w:rsid w:val="003A05BF"/>
    <w:rPr>
      <w:rFonts w:eastAsia="Times New Roman"/>
      <w:sz w:val="21"/>
      <w:szCs w:val="21"/>
    </w:rPr>
  </w:style>
  <w:style w:type="character" w:customStyle="1" w:styleId="CharacterStyle4">
    <w:name w:val="Character Style 4"/>
    <w:uiPriority w:val="99"/>
    <w:rsid w:val="003A05B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3F206F-D531-44D8-886C-7950B21C2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2953</Words>
  <Characters>16243</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brodriguez</dc:creator>
  <cp:lastModifiedBy>brodriguez</cp:lastModifiedBy>
  <cp:revision>2</cp:revision>
  <dcterms:created xsi:type="dcterms:W3CDTF">2015-11-24T16:26:00Z</dcterms:created>
  <dcterms:modified xsi:type="dcterms:W3CDTF">2015-11-24T16:26:00Z</dcterms:modified>
</cp:coreProperties>
</file>